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0F8FE1" w14:textId="77777777" w:rsidR="00FC6ACA" w:rsidRPr="00FC6ACA" w:rsidRDefault="00FC6ACA" w:rsidP="00FC6ACA">
      <w:pPr>
        <w:rPr>
          <w:rFonts w:ascii="Times New Roman" w:hAnsi="Times New Roman" w:cs="Times New Roman"/>
          <w:szCs w:val="20"/>
        </w:rPr>
      </w:pPr>
      <w:bookmarkStart w:id="0" w:name="_GoBack"/>
      <w:bookmarkEnd w:id="0"/>
      <w:r w:rsidRPr="00FC6ACA">
        <w:rPr>
          <w:rFonts w:ascii="Times New Roman" w:hAnsi="Times New Roman" w:cs="Times New Roman"/>
          <w:b/>
          <w:bCs/>
          <w:color w:val="000000"/>
          <w:szCs w:val="21"/>
        </w:rPr>
        <w:t>Assessment of the Information Literacy ILO</w:t>
      </w:r>
    </w:p>
    <w:p w14:paraId="6D0F7B5C" w14:textId="77777777" w:rsidR="00FC6ACA" w:rsidRPr="00FC6ACA" w:rsidRDefault="00FC6ACA" w:rsidP="00FC6ACA">
      <w:pPr>
        <w:ind w:firstLine="720"/>
        <w:rPr>
          <w:rFonts w:ascii="Times New Roman" w:hAnsi="Times New Roman" w:cs="Times New Roman"/>
          <w:szCs w:val="20"/>
        </w:rPr>
      </w:pPr>
      <w:r w:rsidRPr="00FC6ACA">
        <w:rPr>
          <w:rFonts w:ascii="Times New Roman" w:hAnsi="Times New Roman" w:cs="Times New Roman"/>
          <w:color w:val="000000"/>
          <w:szCs w:val="21"/>
        </w:rPr>
        <w:t xml:space="preserve">In 2014-15, information literacy was the focus of Westmont’s institutional </w:t>
      </w:r>
      <w:r w:rsidR="00027671">
        <w:rPr>
          <w:rFonts w:ascii="Times New Roman" w:hAnsi="Times New Roman" w:cs="Times New Roman"/>
          <w:color w:val="000000"/>
          <w:szCs w:val="21"/>
        </w:rPr>
        <w:t xml:space="preserve">learning outcome </w:t>
      </w:r>
      <w:r w:rsidRPr="00FC6ACA">
        <w:rPr>
          <w:rFonts w:ascii="Times New Roman" w:hAnsi="Times New Roman" w:cs="Times New Roman"/>
          <w:color w:val="000000"/>
          <w:szCs w:val="21"/>
        </w:rPr>
        <w:t xml:space="preserve">assessment. Information literacy is not only concerned with how students use tools to find information, but more importantly with what they do with that information once they’ve found it. This assessment project used both direct and indirect assessment methods to evaluate how students engage with information resources in their academic and disciplinary contexts, and was driven by the information literacy ILO: </w:t>
      </w:r>
      <w:r w:rsidRPr="00FC6ACA">
        <w:rPr>
          <w:rFonts w:ascii="Times New Roman" w:hAnsi="Times New Roman" w:cs="Times New Roman"/>
          <w:i/>
          <w:iCs/>
          <w:color w:val="000000"/>
          <w:szCs w:val="21"/>
        </w:rPr>
        <w:t>Graduates of Westmont</w:t>
      </w:r>
      <w:r w:rsidR="00027671">
        <w:rPr>
          <w:rFonts w:ascii="Times New Roman" w:hAnsi="Times New Roman" w:cs="Times New Roman"/>
          <w:i/>
          <w:iCs/>
          <w:color w:val="000000"/>
          <w:szCs w:val="21"/>
        </w:rPr>
        <w:t xml:space="preserve"> College</w:t>
      </w:r>
      <w:r w:rsidRPr="00FC6ACA">
        <w:rPr>
          <w:rFonts w:ascii="Times New Roman" w:hAnsi="Times New Roman" w:cs="Times New Roman"/>
          <w:i/>
          <w:iCs/>
          <w:color w:val="000000"/>
          <w:szCs w:val="21"/>
        </w:rPr>
        <w:t xml:space="preserve"> will be able to id</w:t>
      </w:r>
      <w:r w:rsidR="00027671">
        <w:rPr>
          <w:rFonts w:ascii="Times New Roman" w:hAnsi="Times New Roman" w:cs="Times New Roman"/>
          <w:i/>
          <w:iCs/>
          <w:color w:val="000000"/>
          <w:szCs w:val="21"/>
        </w:rPr>
        <w:t>entify, evaluate, and integrate</w:t>
      </w:r>
      <w:r w:rsidRPr="00FC6ACA">
        <w:rPr>
          <w:rFonts w:ascii="Times New Roman" w:hAnsi="Times New Roman" w:cs="Times New Roman"/>
          <w:i/>
          <w:iCs/>
          <w:color w:val="000000"/>
          <w:szCs w:val="21"/>
        </w:rPr>
        <w:t xml:space="preserve"> sources effectively and ethically in various contexts.</w:t>
      </w:r>
    </w:p>
    <w:p w14:paraId="05FC6359" w14:textId="77777777" w:rsidR="00FC6ACA" w:rsidRPr="00FC6ACA" w:rsidRDefault="00FC6ACA" w:rsidP="00FC6ACA">
      <w:pPr>
        <w:rPr>
          <w:rFonts w:ascii="Times New Roman" w:hAnsi="Times New Roman"/>
          <w:szCs w:val="20"/>
        </w:rPr>
      </w:pPr>
    </w:p>
    <w:p w14:paraId="3E7C089A" w14:textId="77777777" w:rsidR="00FC6ACA" w:rsidRPr="00FC6ACA" w:rsidRDefault="00FC6ACA" w:rsidP="00FC6ACA">
      <w:pPr>
        <w:rPr>
          <w:rFonts w:ascii="Times New Roman" w:hAnsi="Times New Roman" w:cs="Times New Roman"/>
          <w:szCs w:val="20"/>
        </w:rPr>
      </w:pPr>
      <w:r w:rsidRPr="00FC6ACA">
        <w:rPr>
          <w:rFonts w:ascii="Times New Roman" w:hAnsi="Times New Roman" w:cs="Times New Roman"/>
          <w:b/>
          <w:bCs/>
          <w:color w:val="000000"/>
          <w:szCs w:val="21"/>
        </w:rPr>
        <w:t>Direct Assessment</w:t>
      </w:r>
    </w:p>
    <w:p w14:paraId="3762C96C" w14:textId="77777777" w:rsidR="00FC6ACA" w:rsidRPr="00FC6ACA" w:rsidRDefault="00FC6ACA" w:rsidP="00FC6ACA">
      <w:pPr>
        <w:rPr>
          <w:rFonts w:ascii="Times New Roman" w:hAnsi="Times New Roman" w:cs="Times New Roman"/>
          <w:szCs w:val="20"/>
        </w:rPr>
      </w:pPr>
      <w:r w:rsidRPr="00FC6ACA">
        <w:rPr>
          <w:rFonts w:ascii="Times New Roman" w:hAnsi="Times New Roman" w:cs="Times New Roman"/>
          <w:b/>
          <w:bCs/>
          <w:i/>
          <w:iCs/>
          <w:color w:val="000000"/>
          <w:szCs w:val="21"/>
        </w:rPr>
        <w:t>Methods and Tools</w:t>
      </w:r>
    </w:p>
    <w:p w14:paraId="63D60707" w14:textId="77777777" w:rsidR="00027671" w:rsidRDefault="00FC6ACA" w:rsidP="00FC6ACA">
      <w:pPr>
        <w:ind w:firstLine="720"/>
        <w:rPr>
          <w:rFonts w:ascii="Times New Roman" w:hAnsi="Times New Roman" w:cs="Times New Roman"/>
          <w:color w:val="000000"/>
          <w:szCs w:val="21"/>
        </w:rPr>
      </w:pPr>
      <w:r w:rsidRPr="00FC6ACA">
        <w:rPr>
          <w:rFonts w:ascii="Times New Roman" w:hAnsi="Times New Roman" w:cs="Times New Roman"/>
          <w:color w:val="000000"/>
          <w:szCs w:val="21"/>
        </w:rPr>
        <w:t xml:space="preserve">In both fall and spring semesters, student </w:t>
      </w:r>
      <w:r w:rsidR="00027671">
        <w:rPr>
          <w:rFonts w:ascii="Times New Roman" w:hAnsi="Times New Roman" w:cs="Times New Roman"/>
          <w:color w:val="000000"/>
          <w:szCs w:val="21"/>
        </w:rPr>
        <w:t>writing</w:t>
      </w:r>
      <w:r w:rsidRPr="00FC6ACA">
        <w:rPr>
          <w:rFonts w:ascii="Times New Roman" w:hAnsi="Times New Roman" w:cs="Times New Roman"/>
          <w:color w:val="000000"/>
          <w:szCs w:val="21"/>
        </w:rPr>
        <w:t xml:space="preserve"> was collected from lower- and upper-division courses</w:t>
      </w:r>
      <w:r w:rsidR="00027671">
        <w:rPr>
          <w:rFonts w:ascii="Times New Roman" w:hAnsi="Times New Roman" w:cs="Times New Roman"/>
          <w:color w:val="000000"/>
          <w:szCs w:val="21"/>
        </w:rPr>
        <w:t>. The papers collected were all source-based writing assignments, meaning simply that students were at least required, among other particulars of the course assignment, to find and incorporate outside sources into their own writing. These papers were not written specifically for the ILO project, but were instead written for the ordinary purposes of the course. This was intentionally done, allowing the project to engage in authentic assessment by looking at student writing in the everyday context of the classroom.</w:t>
      </w:r>
    </w:p>
    <w:p w14:paraId="24D88CBC" w14:textId="77777777" w:rsidR="00FC6ACA" w:rsidRPr="00FC6ACA" w:rsidRDefault="00FC6ACA" w:rsidP="00FC6ACA">
      <w:pPr>
        <w:ind w:firstLine="720"/>
        <w:rPr>
          <w:rFonts w:ascii="Times New Roman" w:hAnsi="Times New Roman" w:cs="Times New Roman"/>
          <w:szCs w:val="20"/>
        </w:rPr>
      </w:pPr>
      <w:r w:rsidRPr="00FC6ACA">
        <w:rPr>
          <w:rFonts w:ascii="Times New Roman" w:hAnsi="Times New Roman" w:cs="Times New Roman"/>
          <w:color w:val="000000"/>
          <w:szCs w:val="21"/>
        </w:rPr>
        <w:t xml:space="preserve">A rubric was created for this project, designed with the language of the ILO in mind. The rubric looked at three primary aspects of information literacy: source evaluation, source integration, and source attribution (see </w:t>
      </w:r>
      <w:r w:rsidR="00A866A5">
        <w:rPr>
          <w:rFonts w:ascii="Times New Roman" w:hAnsi="Times New Roman" w:cs="Times New Roman"/>
          <w:color w:val="000000"/>
          <w:szCs w:val="21"/>
        </w:rPr>
        <w:t>attached</w:t>
      </w:r>
      <w:r w:rsidRPr="00FC6ACA">
        <w:rPr>
          <w:rFonts w:ascii="Times New Roman" w:hAnsi="Times New Roman" w:cs="Times New Roman"/>
          <w:color w:val="000000"/>
          <w:szCs w:val="21"/>
        </w:rPr>
        <w:t>). A group of Westmont faculty and librarians met to norm the rubric together, then read and rated the student papers against the rubric, rating each paper on a 4-point scale in the three areas. Each paper was read at least twice to ensure inter-rater reliability.</w:t>
      </w:r>
    </w:p>
    <w:p w14:paraId="229BBF12" w14:textId="77777777" w:rsidR="00FC6ACA" w:rsidRPr="00FC6ACA" w:rsidRDefault="00FC6ACA" w:rsidP="00FC6ACA">
      <w:pPr>
        <w:rPr>
          <w:rFonts w:ascii="Times New Roman" w:hAnsi="Times New Roman"/>
          <w:szCs w:val="20"/>
        </w:rPr>
      </w:pPr>
    </w:p>
    <w:p w14:paraId="4BFDE6E9" w14:textId="77777777" w:rsidR="00BF3F6D" w:rsidRDefault="00FC6ACA" w:rsidP="00FC6ACA">
      <w:pPr>
        <w:rPr>
          <w:rFonts w:ascii="Times New Roman" w:hAnsi="Times New Roman" w:cs="Times New Roman"/>
          <w:szCs w:val="20"/>
        </w:rPr>
      </w:pPr>
      <w:r w:rsidRPr="00FC6ACA">
        <w:rPr>
          <w:rFonts w:ascii="Times New Roman" w:hAnsi="Times New Roman" w:cs="Times New Roman"/>
          <w:b/>
          <w:bCs/>
          <w:i/>
          <w:iCs/>
          <w:color w:val="000000"/>
          <w:szCs w:val="21"/>
        </w:rPr>
        <w:t>Results</w:t>
      </w:r>
    </w:p>
    <w:p w14:paraId="66905C86" w14:textId="77777777" w:rsidR="00FC6ACA" w:rsidRPr="00BF3F6D" w:rsidRDefault="00FC6ACA" w:rsidP="00FC6ACA">
      <w:pPr>
        <w:rPr>
          <w:rFonts w:ascii="Times New Roman" w:hAnsi="Times New Roman" w:cs="Times New Roman"/>
          <w:szCs w:val="20"/>
        </w:rPr>
      </w:pPr>
    </w:p>
    <w:tbl>
      <w:tblPr>
        <w:tblStyle w:val="TableGrid"/>
        <w:tblW w:w="0" w:type="auto"/>
        <w:tblCellMar>
          <w:left w:w="43" w:type="dxa"/>
          <w:right w:w="43" w:type="dxa"/>
        </w:tblCellMar>
        <w:tblLook w:val="00A0" w:firstRow="1" w:lastRow="0" w:firstColumn="1" w:lastColumn="0" w:noHBand="0" w:noVBand="0"/>
      </w:tblPr>
      <w:tblGrid>
        <w:gridCol w:w="2047"/>
        <w:gridCol w:w="925"/>
        <w:gridCol w:w="925"/>
        <w:gridCol w:w="925"/>
        <w:gridCol w:w="925"/>
        <w:gridCol w:w="925"/>
        <w:gridCol w:w="925"/>
        <w:gridCol w:w="925"/>
        <w:gridCol w:w="924"/>
      </w:tblGrid>
      <w:tr w:rsidR="00085F42" w14:paraId="0A386B0E" w14:textId="77777777">
        <w:tc>
          <w:tcPr>
            <w:tcW w:w="2088" w:type="dxa"/>
          </w:tcPr>
          <w:p w14:paraId="4B3A5F64" w14:textId="77777777" w:rsidR="00085F42" w:rsidRDefault="00085F42" w:rsidP="00FC6ACA">
            <w:pPr>
              <w:rPr>
                <w:rFonts w:ascii="Times New Roman" w:hAnsi="Times New Roman"/>
                <w:color w:val="000000"/>
              </w:rPr>
            </w:pPr>
          </w:p>
        </w:tc>
        <w:tc>
          <w:tcPr>
            <w:tcW w:w="1872" w:type="dxa"/>
            <w:gridSpan w:val="2"/>
          </w:tcPr>
          <w:p w14:paraId="196A4996" w14:textId="77777777" w:rsidR="00085F42" w:rsidRPr="003F7B97" w:rsidRDefault="00085F42" w:rsidP="00FC6ACA">
            <w:pPr>
              <w:rPr>
                <w:rFonts w:ascii="Times New Roman" w:hAnsi="Times New Roman"/>
                <w:b/>
                <w:color w:val="000000"/>
              </w:rPr>
            </w:pPr>
            <w:r w:rsidRPr="003F7B97">
              <w:rPr>
                <w:rFonts w:ascii="Times New Roman" w:hAnsi="Times New Roman"/>
                <w:b/>
                <w:color w:val="000000"/>
              </w:rPr>
              <w:t>4 - Proficient</w:t>
            </w:r>
          </w:p>
        </w:tc>
        <w:tc>
          <w:tcPr>
            <w:tcW w:w="1872" w:type="dxa"/>
            <w:gridSpan w:val="2"/>
          </w:tcPr>
          <w:p w14:paraId="1D95B332" w14:textId="77777777" w:rsidR="00085F42" w:rsidRPr="003F7B97" w:rsidRDefault="00085F42" w:rsidP="00FC6ACA">
            <w:pPr>
              <w:rPr>
                <w:rFonts w:ascii="Times New Roman" w:hAnsi="Times New Roman"/>
                <w:b/>
                <w:color w:val="000000"/>
              </w:rPr>
            </w:pPr>
            <w:r w:rsidRPr="003F7B97">
              <w:rPr>
                <w:rFonts w:ascii="Times New Roman" w:hAnsi="Times New Roman"/>
                <w:b/>
                <w:color w:val="000000"/>
              </w:rPr>
              <w:t>3 - Competent</w:t>
            </w:r>
          </w:p>
        </w:tc>
        <w:tc>
          <w:tcPr>
            <w:tcW w:w="1872" w:type="dxa"/>
            <w:gridSpan w:val="2"/>
          </w:tcPr>
          <w:p w14:paraId="13084561" w14:textId="77777777" w:rsidR="00085F42" w:rsidRPr="003F7B97" w:rsidRDefault="00085F42" w:rsidP="00FC6ACA">
            <w:pPr>
              <w:rPr>
                <w:rFonts w:ascii="Times New Roman" w:hAnsi="Times New Roman"/>
                <w:b/>
                <w:color w:val="000000"/>
              </w:rPr>
            </w:pPr>
            <w:r w:rsidRPr="003F7B97">
              <w:rPr>
                <w:rFonts w:ascii="Times New Roman" w:hAnsi="Times New Roman"/>
                <w:b/>
                <w:color w:val="000000"/>
              </w:rPr>
              <w:t>2 - Developing</w:t>
            </w:r>
          </w:p>
        </w:tc>
        <w:tc>
          <w:tcPr>
            <w:tcW w:w="1872" w:type="dxa"/>
            <w:gridSpan w:val="2"/>
          </w:tcPr>
          <w:p w14:paraId="3F5A6744" w14:textId="77777777" w:rsidR="00085F42" w:rsidRPr="003F7B97" w:rsidRDefault="00085F42" w:rsidP="00FC6ACA">
            <w:pPr>
              <w:rPr>
                <w:rFonts w:ascii="Times New Roman" w:hAnsi="Times New Roman"/>
                <w:b/>
                <w:color w:val="000000"/>
              </w:rPr>
            </w:pPr>
            <w:r w:rsidRPr="003F7B97">
              <w:rPr>
                <w:rFonts w:ascii="Times New Roman" w:hAnsi="Times New Roman"/>
                <w:b/>
                <w:color w:val="000000"/>
              </w:rPr>
              <w:t>1 - Beginning</w:t>
            </w:r>
          </w:p>
        </w:tc>
      </w:tr>
      <w:tr w:rsidR="003F7B97" w14:paraId="5CD1C4FD" w14:textId="77777777">
        <w:tc>
          <w:tcPr>
            <w:tcW w:w="2088" w:type="dxa"/>
          </w:tcPr>
          <w:p w14:paraId="316FB946" w14:textId="77777777" w:rsidR="005B32C2" w:rsidRDefault="005B32C2" w:rsidP="00FC6ACA">
            <w:pPr>
              <w:rPr>
                <w:rFonts w:ascii="Times New Roman" w:hAnsi="Times New Roman"/>
                <w:color w:val="000000"/>
              </w:rPr>
            </w:pPr>
          </w:p>
        </w:tc>
        <w:tc>
          <w:tcPr>
            <w:tcW w:w="936" w:type="dxa"/>
            <w:shd w:val="clear" w:color="auto" w:fill="C0C0C0"/>
          </w:tcPr>
          <w:p w14:paraId="26238D52" w14:textId="77777777" w:rsidR="005B32C2" w:rsidRDefault="003F7B97" w:rsidP="002B630F">
            <w:pPr>
              <w:jc w:val="center"/>
              <w:rPr>
                <w:rFonts w:ascii="Times New Roman" w:hAnsi="Times New Roman"/>
                <w:color w:val="000000"/>
              </w:rPr>
            </w:pPr>
            <w:r>
              <w:rPr>
                <w:rFonts w:ascii="Times New Roman" w:hAnsi="Times New Roman"/>
                <w:color w:val="000000"/>
              </w:rPr>
              <w:t>Lower</w:t>
            </w:r>
          </w:p>
        </w:tc>
        <w:tc>
          <w:tcPr>
            <w:tcW w:w="936" w:type="dxa"/>
          </w:tcPr>
          <w:p w14:paraId="3CF142EE" w14:textId="77777777" w:rsidR="005B32C2" w:rsidRDefault="003F7B97" w:rsidP="002B630F">
            <w:pPr>
              <w:jc w:val="center"/>
              <w:rPr>
                <w:rFonts w:ascii="Times New Roman" w:hAnsi="Times New Roman"/>
                <w:color w:val="000000"/>
              </w:rPr>
            </w:pPr>
            <w:r>
              <w:rPr>
                <w:rFonts w:ascii="Times New Roman" w:hAnsi="Times New Roman"/>
                <w:color w:val="000000"/>
              </w:rPr>
              <w:t>Upper</w:t>
            </w:r>
          </w:p>
        </w:tc>
        <w:tc>
          <w:tcPr>
            <w:tcW w:w="936" w:type="dxa"/>
            <w:shd w:val="clear" w:color="auto" w:fill="C0C0C0"/>
          </w:tcPr>
          <w:p w14:paraId="0EA16A86" w14:textId="77777777" w:rsidR="005B32C2" w:rsidRDefault="003F7B97" w:rsidP="002B630F">
            <w:pPr>
              <w:spacing w:before="2" w:after="2"/>
              <w:jc w:val="center"/>
              <w:rPr>
                <w:rFonts w:ascii="Times New Roman" w:hAnsi="Times New Roman"/>
                <w:color w:val="000000"/>
              </w:rPr>
            </w:pPr>
            <w:r>
              <w:rPr>
                <w:rFonts w:ascii="Times New Roman" w:hAnsi="Times New Roman"/>
                <w:color w:val="000000"/>
              </w:rPr>
              <w:t>Lower</w:t>
            </w:r>
          </w:p>
        </w:tc>
        <w:tc>
          <w:tcPr>
            <w:tcW w:w="936" w:type="dxa"/>
          </w:tcPr>
          <w:p w14:paraId="618043C9" w14:textId="77777777" w:rsidR="005B32C2" w:rsidRDefault="003F7B97" w:rsidP="002B630F">
            <w:pPr>
              <w:spacing w:before="2" w:after="2"/>
              <w:jc w:val="center"/>
              <w:rPr>
                <w:rFonts w:ascii="Times New Roman" w:hAnsi="Times New Roman"/>
                <w:color w:val="000000"/>
              </w:rPr>
            </w:pPr>
            <w:r>
              <w:rPr>
                <w:rFonts w:ascii="Times New Roman" w:hAnsi="Times New Roman"/>
                <w:color w:val="000000"/>
              </w:rPr>
              <w:t>Upper</w:t>
            </w:r>
          </w:p>
        </w:tc>
        <w:tc>
          <w:tcPr>
            <w:tcW w:w="936" w:type="dxa"/>
            <w:shd w:val="clear" w:color="auto" w:fill="C0C0C0"/>
          </w:tcPr>
          <w:p w14:paraId="10B55D33" w14:textId="77777777" w:rsidR="005B32C2" w:rsidRDefault="003F7B97" w:rsidP="002B630F">
            <w:pPr>
              <w:spacing w:before="2" w:after="2"/>
              <w:jc w:val="center"/>
              <w:rPr>
                <w:rFonts w:ascii="Times New Roman" w:hAnsi="Times New Roman"/>
                <w:color w:val="000000"/>
              </w:rPr>
            </w:pPr>
            <w:r>
              <w:rPr>
                <w:rFonts w:ascii="Times New Roman" w:hAnsi="Times New Roman"/>
                <w:color w:val="000000"/>
              </w:rPr>
              <w:t>Lower</w:t>
            </w:r>
          </w:p>
        </w:tc>
        <w:tc>
          <w:tcPr>
            <w:tcW w:w="936" w:type="dxa"/>
          </w:tcPr>
          <w:p w14:paraId="18C52594" w14:textId="77777777" w:rsidR="005B32C2" w:rsidRDefault="003F7B97" w:rsidP="002B630F">
            <w:pPr>
              <w:spacing w:before="2" w:after="2"/>
              <w:jc w:val="center"/>
              <w:rPr>
                <w:rFonts w:ascii="Times New Roman" w:hAnsi="Times New Roman"/>
                <w:color w:val="000000"/>
              </w:rPr>
            </w:pPr>
            <w:r>
              <w:rPr>
                <w:rFonts w:ascii="Times New Roman" w:hAnsi="Times New Roman"/>
                <w:color w:val="000000"/>
              </w:rPr>
              <w:t>Upper</w:t>
            </w:r>
          </w:p>
        </w:tc>
        <w:tc>
          <w:tcPr>
            <w:tcW w:w="936" w:type="dxa"/>
            <w:shd w:val="clear" w:color="auto" w:fill="C0C0C0"/>
          </w:tcPr>
          <w:p w14:paraId="5E3F4D25" w14:textId="77777777" w:rsidR="005B32C2" w:rsidRDefault="003F7B97" w:rsidP="002B630F">
            <w:pPr>
              <w:spacing w:before="2" w:after="2"/>
              <w:jc w:val="center"/>
              <w:rPr>
                <w:rFonts w:ascii="Times New Roman" w:hAnsi="Times New Roman"/>
                <w:color w:val="000000"/>
              </w:rPr>
            </w:pPr>
            <w:r>
              <w:rPr>
                <w:rFonts w:ascii="Times New Roman" w:hAnsi="Times New Roman"/>
                <w:color w:val="000000"/>
              </w:rPr>
              <w:t>Lower</w:t>
            </w:r>
          </w:p>
        </w:tc>
        <w:tc>
          <w:tcPr>
            <w:tcW w:w="936" w:type="dxa"/>
          </w:tcPr>
          <w:p w14:paraId="3D7F6EFD" w14:textId="77777777" w:rsidR="005B32C2" w:rsidRDefault="003F7B97" w:rsidP="002B630F">
            <w:pPr>
              <w:spacing w:before="2" w:after="2"/>
              <w:jc w:val="center"/>
              <w:rPr>
                <w:rFonts w:ascii="Times New Roman" w:hAnsi="Times New Roman"/>
                <w:color w:val="000000"/>
              </w:rPr>
            </w:pPr>
            <w:r>
              <w:rPr>
                <w:rFonts w:ascii="Times New Roman" w:hAnsi="Times New Roman"/>
                <w:color w:val="000000"/>
              </w:rPr>
              <w:t>Upper</w:t>
            </w:r>
          </w:p>
        </w:tc>
      </w:tr>
      <w:tr w:rsidR="003F7B97" w14:paraId="504E6315" w14:textId="77777777">
        <w:tc>
          <w:tcPr>
            <w:tcW w:w="2088" w:type="dxa"/>
          </w:tcPr>
          <w:p w14:paraId="767EF905" w14:textId="77777777" w:rsidR="005B32C2" w:rsidRPr="003F7B97" w:rsidRDefault="005B32C2" w:rsidP="00FC6ACA">
            <w:pPr>
              <w:rPr>
                <w:rFonts w:ascii="Times New Roman" w:hAnsi="Times New Roman"/>
                <w:b/>
                <w:color w:val="000000"/>
              </w:rPr>
            </w:pPr>
            <w:r w:rsidRPr="003F7B97">
              <w:rPr>
                <w:rFonts w:ascii="Times New Roman" w:hAnsi="Times New Roman"/>
                <w:b/>
                <w:color w:val="000000"/>
              </w:rPr>
              <w:t>Source Evaluation</w:t>
            </w:r>
          </w:p>
        </w:tc>
        <w:tc>
          <w:tcPr>
            <w:tcW w:w="936" w:type="dxa"/>
            <w:shd w:val="clear" w:color="auto" w:fill="C0C0C0"/>
          </w:tcPr>
          <w:p w14:paraId="0024303A" w14:textId="2201FBDF" w:rsidR="005B32C2" w:rsidRDefault="000C36F8" w:rsidP="002B630F">
            <w:pPr>
              <w:jc w:val="center"/>
              <w:rPr>
                <w:rFonts w:ascii="Times New Roman" w:hAnsi="Times New Roman"/>
                <w:color w:val="000000"/>
              </w:rPr>
            </w:pPr>
            <w:r>
              <w:rPr>
                <w:rFonts w:ascii="Times New Roman" w:hAnsi="Times New Roman"/>
                <w:color w:val="000000"/>
              </w:rPr>
              <w:t>1.5</w:t>
            </w:r>
            <w:r w:rsidR="005B32C2">
              <w:rPr>
                <w:rFonts w:ascii="Times New Roman" w:hAnsi="Times New Roman"/>
                <w:color w:val="000000"/>
              </w:rPr>
              <w:t>%</w:t>
            </w:r>
          </w:p>
        </w:tc>
        <w:tc>
          <w:tcPr>
            <w:tcW w:w="936" w:type="dxa"/>
          </w:tcPr>
          <w:p w14:paraId="075ADAD8" w14:textId="1684A375" w:rsidR="005B32C2" w:rsidRDefault="000C36F8" w:rsidP="002B630F">
            <w:pPr>
              <w:jc w:val="center"/>
              <w:rPr>
                <w:rFonts w:ascii="Times New Roman" w:hAnsi="Times New Roman"/>
                <w:color w:val="000000"/>
              </w:rPr>
            </w:pPr>
            <w:r>
              <w:rPr>
                <w:rFonts w:ascii="Times New Roman" w:hAnsi="Times New Roman"/>
                <w:color w:val="000000"/>
              </w:rPr>
              <w:t>36</w:t>
            </w:r>
            <w:r w:rsidR="002B630F">
              <w:rPr>
                <w:rFonts w:ascii="Times New Roman" w:hAnsi="Times New Roman"/>
                <w:color w:val="000000"/>
              </w:rPr>
              <w:t>.7%</w:t>
            </w:r>
          </w:p>
        </w:tc>
        <w:tc>
          <w:tcPr>
            <w:tcW w:w="936" w:type="dxa"/>
            <w:shd w:val="clear" w:color="auto" w:fill="C0C0C0"/>
          </w:tcPr>
          <w:p w14:paraId="438A45AB" w14:textId="47B7ABB9" w:rsidR="005B32C2" w:rsidRDefault="000C36F8" w:rsidP="002B630F">
            <w:pPr>
              <w:jc w:val="center"/>
              <w:rPr>
                <w:rFonts w:ascii="Times New Roman" w:hAnsi="Times New Roman"/>
                <w:color w:val="000000"/>
              </w:rPr>
            </w:pPr>
            <w:r>
              <w:rPr>
                <w:rFonts w:ascii="Times New Roman" w:hAnsi="Times New Roman"/>
                <w:color w:val="000000"/>
              </w:rPr>
              <w:t>24.2</w:t>
            </w:r>
            <w:r w:rsidR="005B32C2">
              <w:rPr>
                <w:rFonts w:ascii="Times New Roman" w:hAnsi="Times New Roman"/>
                <w:color w:val="000000"/>
              </w:rPr>
              <w:t>%</w:t>
            </w:r>
          </w:p>
        </w:tc>
        <w:tc>
          <w:tcPr>
            <w:tcW w:w="936" w:type="dxa"/>
          </w:tcPr>
          <w:p w14:paraId="2A9F97FD" w14:textId="26E8E0D3" w:rsidR="005B32C2" w:rsidRDefault="000C36F8" w:rsidP="002B630F">
            <w:pPr>
              <w:spacing w:before="2" w:after="2"/>
              <w:jc w:val="center"/>
              <w:rPr>
                <w:rFonts w:ascii="Times New Roman" w:hAnsi="Times New Roman"/>
                <w:color w:val="000000"/>
              </w:rPr>
            </w:pPr>
            <w:r>
              <w:rPr>
                <w:rFonts w:ascii="Times New Roman" w:hAnsi="Times New Roman"/>
                <w:color w:val="000000"/>
              </w:rPr>
              <w:t>48</w:t>
            </w:r>
            <w:r w:rsidR="002B630F">
              <w:rPr>
                <w:rFonts w:ascii="Times New Roman" w:hAnsi="Times New Roman"/>
                <w:color w:val="000000"/>
              </w:rPr>
              <w:t>%</w:t>
            </w:r>
          </w:p>
        </w:tc>
        <w:tc>
          <w:tcPr>
            <w:tcW w:w="936" w:type="dxa"/>
            <w:shd w:val="clear" w:color="auto" w:fill="C0C0C0"/>
          </w:tcPr>
          <w:p w14:paraId="47969E86" w14:textId="23DBF0C0" w:rsidR="005B32C2" w:rsidRDefault="000C36F8" w:rsidP="002B630F">
            <w:pPr>
              <w:jc w:val="center"/>
              <w:rPr>
                <w:rFonts w:ascii="Times New Roman" w:hAnsi="Times New Roman"/>
                <w:color w:val="000000"/>
              </w:rPr>
            </w:pPr>
            <w:r>
              <w:rPr>
                <w:rFonts w:ascii="Times New Roman" w:hAnsi="Times New Roman"/>
                <w:color w:val="000000"/>
              </w:rPr>
              <w:t>56.1</w:t>
            </w:r>
            <w:r w:rsidR="005B32C2">
              <w:rPr>
                <w:rFonts w:ascii="Times New Roman" w:hAnsi="Times New Roman"/>
                <w:color w:val="000000"/>
              </w:rPr>
              <w:t>%</w:t>
            </w:r>
          </w:p>
        </w:tc>
        <w:tc>
          <w:tcPr>
            <w:tcW w:w="936" w:type="dxa"/>
          </w:tcPr>
          <w:p w14:paraId="784C5DCF" w14:textId="77777777" w:rsidR="005B32C2" w:rsidRDefault="002B630F" w:rsidP="002B630F">
            <w:pPr>
              <w:jc w:val="center"/>
              <w:rPr>
                <w:rFonts w:ascii="Times New Roman" w:hAnsi="Times New Roman"/>
                <w:color w:val="000000"/>
              </w:rPr>
            </w:pPr>
            <w:r>
              <w:rPr>
                <w:rFonts w:ascii="Times New Roman" w:hAnsi="Times New Roman"/>
                <w:color w:val="000000"/>
              </w:rPr>
              <w:t>15.3%</w:t>
            </w:r>
          </w:p>
        </w:tc>
        <w:tc>
          <w:tcPr>
            <w:tcW w:w="936" w:type="dxa"/>
            <w:shd w:val="clear" w:color="auto" w:fill="C0C0C0"/>
          </w:tcPr>
          <w:p w14:paraId="24B7B3F4" w14:textId="2787C210" w:rsidR="005B32C2" w:rsidRDefault="000C36F8" w:rsidP="002B630F">
            <w:pPr>
              <w:jc w:val="center"/>
              <w:rPr>
                <w:rFonts w:ascii="Times New Roman" w:hAnsi="Times New Roman"/>
                <w:color w:val="000000"/>
              </w:rPr>
            </w:pPr>
            <w:r>
              <w:rPr>
                <w:rFonts w:ascii="Times New Roman" w:hAnsi="Times New Roman"/>
                <w:color w:val="000000"/>
              </w:rPr>
              <w:t>18.2</w:t>
            </w:r>
            <w:r w:rsidR="005B32C2">
              <w:rPr>
                <w:rFonts w:ascii="Times New Roman" w:hAnsi="Times New Roman"/>
                <w:color w:val="000000"/>
              </w:rPr>
              <w:t>%</w:t>
            </w:r>
          </w:p>
        </w:tc>
        <w:tc>
          <w:tcPr>
            <w:tcW w:w="936" w:type="dxa"/>
          </w:tcPr>
          <w:p w14:paraId="367F64E5" w14:textId="77777777" w:rsidR="005B32C2" w:rsidRDefault="002B630F" w:rsidP="002B630F">
            <w:pPr>
              <w:jc w:val="center"/>
              <w:rPr>
                <w:rFonts w:ascii="Times New Roman" w:hAnsi="Times New Roman"/>
                <w:color w:val="000000"/>
              </w:rPr>
            </w:pPr>
            <w:r>
              <w:rPr>
                <w:rFonts w:ascii="Times New Roman" w:hAnsi="Times New Roman"/>
                <w:color w:val="000000"/>
              </w:rPr>
              <w:t>0%</w:t>
            </w:r>
          </w:p>
        </w:tc>
      </w:tr>
      <w:tr w:rsidR="003F7B97" w14:paraId="4EFAD4AD" w14:textId="77777777">
        <w:tc>
          <w:tcPr>
            <w:tcW w:w="2088" w:type="dxa"/>
          </w:tcPr>
          <w:p w14:paraId="6A3BF7D0" w14:textId="77777777" w:rsidR="005B32C2" w:rsidRPr="003F7B97" w:rsidRDefault="005B32C2" w:rsidP="00FC6ACA">
            <w:pPr>
              <w:rPr>
                <w:rFonts w:ascii="Times New Roman" w:hAnsi="Times New Roman"/>
                <w:b/>
                <w:color w:val="000000"/>
              </w:rPr>
            </w:pPr>
            <w:r w:rsidRPr="003F7B97">
              <w:rPr>
                <w:rFonts w:ascii="Times New Roman" w:hAnsi="Times New Roman"/>
                <w:b/>
                <w:color w:val="000000"/>
              </w:rPr>
              <w:t>Source Integration</w:t>
            </w:r>
          </w:p>
        </w:tc>
        <w:tc>
          <w:tcPr>
            <w:tcW w:w="936" w:type="dxa"/>
            <w:shd w:val="clear" w:color="auto" w:fill="C0C0C0"/>
          </w:tcPr>
          <w:p w14:paraId="199EE8F1" w14:textId="4296218E" w:rsidR="005B32C2" w:rsidRDefault="000C36F8" w:rsidP="002B630F">
            <w:pPr>
              <w:jc w:val="center"/>
              <w:rPr>
                <w:rFonts w:ascii="Times New Roman" w:hAnsi="Times New Roman"/>
                <w:color w:val="000000"/>
              </w:rPr>
            </w:pPr>
            <w:r>
              <w:rPr>
                <w:rFonts w:ascii="Times New Roman" w:hAnsi="Times New Roman"/>
                <w:color w:val="000000"/>
              </w:rPr>
              <w:t>1.4</w:t>
            </w:r>
            <w:r w:rsidR="005B32C2">
              <w:rPr>
                <w:rFonts w:ascii="Times New Roman" w:hAnsi="Times New Roman"/>
                <w:color w:val="000000"/>
              </w:rPr>
              <w:t>%</w:t>
            </w:r>
          </w:p>
        </w:tc>
        <w:tc>
          <w:tcPr>
            <w:tcW w:w="936" w:type="dxa"/>
          </w:tcPr>
          <w:p w14:paraId="005B1B21" w14:textId="28CCBFF8" w:rsidR="005B32C2" w:rsidRDefault="000C36F8" w:rsidP="002B630F">
            <w:pPr>
              <w:jc w:val="center"/>
              <w:rPr>
                <w:rFonts w:ascii="Times New Roman" w:hAnsi="Times New Roman"/>
                <w:color w:val="000000"/>
              </w:rPr>
            </w:pPr>
            <w:r>
              <w:rPr>
                <w:rFonts w:ascii="Times New Roman" w:hAnsi="Times New Roman"/>
                <w:color w:val="000000"/>
              </w:rPr>
              <w:t>23</w:t>
            </w:r>
            <w:r w:rsidR="002B630F">
              <w:rPr>
                <w:rFonts w:ascii="Times New Roman" w:hAnsi="Times New Roman"/>
                <w:color w:val="000000"/>
              </w:rPr>
              <w:t>.5%</w:t>
            </w:r>
          </w:p>
        </w:tc>
        <w:tc>
          <w:tcPr>
            <w:tcW w:w="936" w:type="dxa"/>
            <w:shd w:val="clear" w:color="auto" w:fill="C0C0C0"/>
          </w:tcPr>
          <w:p w14:paraId="422C6F98" w14:textId="7E682D21" w:rsidR="005B32C2" w:rsidRDefault="000C36F8" w:rsidP="002B630F">
            <w:pPr>
              <w:jc w:val="center"/>
              <w:rPr>
                <w:rFonts w:ascii="Times New Roman" w:hAnsi="Times New Roman"/>
                <w:color w:val="000000"/>
              </w:rPr>
            </w:pPr>
            <w:r>
              <w:rPr>
                <w:rFonts w:ascii="Times New Roman" w:hAnsi="Times New Roman"/>
                <w:color w:val="000000"/>
              </w:rPr>
              <w:t>14.1</w:t>
            </w:r>
            <w:r w:rsidR="005B32C2">
              <w:rPr>
                <w:rFonts w:ascii="Times New Roman" w:hAnsi="Times New Roman"/>
                <w:color w:val="000000"/>
              </w:rPr>
              <w:t>%</w:t>
            </w:r>
          </w:p>
        </w:tc>
        <w:tc>
          <w:tcPr>
            <w:tcW w:w="936" w:type="dxa"/>
          </w:tcPr>
          <w:p w14:paraId="3DC1F34F" w14:textId="28E5A9C8" w:rsidR="005B32C2" w:rsidRDefault="000C36F8" w:rsidP="002B630F">
            <w:pPr>
              <w:spacing w:before="2" w:after="2"/>
              <w:jc w:val="center"/>
              <w:rPr>
                <w:rFonts w:ascii="Times New Roman" w:hAnsi="Times New Roman"/>
                <w:color w:val="000000"/>
              </w:rPr>
            </w:pPr>
            <w:r>
              <w:rPr>
                <w:rFonts w:ascii="Times New Roman" w:hAnsi="Times New Roman"/>
                <w:color w:val="000000"/>
              </w:rPr>
              <w:t>55</w:t>
            </w:r>
            <w:r w:rsidR="002B630F">
              <w:rPr>
                <w:rFonts w:ascii="Times New Roman" w:hAnsi="Times New Roman"/>
                <w:color w:val="000000"/>
              </w:rPr>
              <w:t>.1%</w:t>
            </w:r>
          </w:p>
        </w:tc>
        <w:tc>
          <w:tcPr>
            <w:tcW w:w="936" w:type="dxa"/>
            <w:shd w:val="clear" w:color="auto" w:fill="C0C0C0"/>
          </w:tcPr>
          <w:p w14:paraId="54A004CD" w14:textId="3CB63CCE" w:rsidR="005B32C2" w:rsidRDefault="000C36F8" w:rsidP="002B630F">
            <w:pPr>
              <w:jc w:val="center"/>
              <w:rPr>
                <w:rFonts w:ascii="Times New Roman" w:hAnsi="Times New Roman"/>
                <w:color w:val="000000"/>
              </w:rPr>
            </w:pPr>
            <w:r>
              <w:rPr>
                <w:rFonts w:ascii="Times New Roman" w:hAnsi="Times New Roman"/>
                <w:color w:val="000000"/>
              </w:rPr>
              <w:t>53</w:t>
            </w:r>
            <w:r w:rsidR="005B32C2">
              <w:rPr>
                <w:rFonts w:ascii="Times New Roman" w:hAnsi="Times New Roman"/>
                <w:color w:val="000000"/>
              </w:rPr>
              <w:t>.5%</w:t>
            </w:r>
          </w:p>
        </w:tc>
        <w:tc>
          <w:tcPr>
            <w:tcW w:w="936" w:type="dxa"/>
          </w:tcPr>
          <w:p w14:paraId="19E503EB" w14:textId="77777777" w:rsidR="005B32C2" w:rsidRDefault="002B630F" w:rsidP="002B630F">
            <w:pPr>
              <w:jc w:val="center"/>
              <w:rPr>
                <w:rFonts w:ascii="Times New Roman" w:hAnsi="Times New Roman"/>
                <w:color w:val="000000"/>
              </w:rPr>
            </w:pPr>
            <w:r>
              <w:rPr>
                <w:rFonts w:ascii="Times New Roman" w:hAnsi="Times New Roman"/>
                <w:color w:val="000000"/>
              </w:rPr>
              <w:t>21.4%</w:t>
            </w:r>
          </w:p>
        </w:tc>
        <w:tc>
          <w:tcPr>
            <w:tcW w:w="936" w:type="dxa"/>
            <w:shd w:val="clear" w:color="auto" w:fill="C0C0C0"/>
          </w:tcPr>
          <w:p w14:paraId="01D400E0" w14:textId="77777777" w:rsidR="005B32C2" w:rsidRDefault="005B32C2" w:rsidP="002B630F">
            <w:pPr>
              <w:jc w:val="center"/>
              <w:rPr>
                <w:rFonts w:ascii="Times New Roman" w:hAnsi="Times New Roman"/>
                <w:color w:val="000000"/>
              </w:rPr>
            </w:pPr>
            <w:r>
              <w:rPr>
                <w:rFonts w:ascii="Times New Roman" w:hAnsi="Times New Roman"/>
                <w:color w:val="000000"/>
              </w:rPr>
              <w:t>31%</w:t>
            </w:r>
          </w:p>
        </w:tc>
        <w:tc>
          <w:tcPr>
            <w:tcW w:w="936" w:type="dxa"/>
          </w:tcPr>
          <w:p w14:paraId="3D325530" w14:textId="77777777" w:rsidR="005B32C2" w:rsidRDefault="002B630F" w:rsidP="002B630F">
            <w:pPr>
              <w:jc w:val="center"/>
              <w:rPr>
                <w:rFonts w:ascii="Times New Roman" w:hAnsi="Times New Roman"/>
                <w:color w:val="000000"/>
              </w:rPr>
            </w:pPr>
            <w:r>
              <w:rPr>
                <w:rFonts w:ascii="Times New Roman" w:hAnsi="Times New Roman"/>
                <w:color w:val="000000"/>
              </w:rPr>
              <w:t>0%</w:t>
            </w:r>
          </w:p>
        </w:tc>
      </w:tr>
      <w:tr w:rsidR="003F7B97" w14:paraId="3F6549F9" w14:textId="77777777">
        <w:tc>
          <w:tcPr>
            <w:tcW w:w="2088" w:type="dxa"/>
          </w:tcPr>
          <w:p w14:paraId="07BDD136" w14:textId="77777777" w:rsidR="005B32C2" w:rsidRPr="003F7B97" w:rsidRDefault="005B32C2" w:rsidP="00FC6ACA">
            <w:pPr>
              <w:rPr>
                <w:rFonts w:ascii="Times New Roman" w:hAnsi="Times New Roman"/>
                <w:b/>
                <w:color w:val="000000"/>
              </w:rPr>
            </w:pPr>
            <w:r w:rsidRPr="003F7B97">
              <w:rPr>
                <w:rFonts w:ascii="Times New Roman" w:hAnsi="Times New Roman"/>
                <w:b/>
                <w:color w:val="000000"/>
              </w:rPr>
              <w:t>Source Attribution</w:t>
            </w:r>
          </w:p>
        </w:tc>
        <w:tc>
          <w:tcPr>
            <w:tcW w:w="936" w:type="dxa"/>
            <w:shd w:val="clear" w:color="auto" w:fill="C0C0C0"/>
          </w:tcPr>
          <w:p w14:paraId="180FA85C" w14:textId="45F65E23" w:rsidR="005B32C2" w:rsidRDefault="000C36F8" w:rsidP="002B630F">
            <w:pPr>
              <w:jc w:val="center"/>
              <w:rPr>
                <w:rFonts w:ascii="Times New Roman" w:hAnsi="Times New Roman"/>
                <w:color w:val="000000"/>
              </w:rPr>
            </w:pPr>
            <w:r>
              <w:rPr>
                <w:rFonts w:ascii="Times New Roman" w:hAnsi="Times New Roman"/>
                <w:color w:val="000000"/>
              </w:rPr>
              <w:t>1.5</w:t>
            </w:r>
            <w:r w:rsidR="005B32C2">
              <w:rPr>
                <w:rFonts w:ascii="Times New Roman" w:hAnsi="Times New Roman"/>
                <w:color w:val="000000"/>
              </w:rPr>
              <w:t>%</w:t>
            </w:r>
          </w:p>
        </w:tc>
        <w:tc>
          <w:tcPr>
            <w:tcW w:w="936" w:type="dxa"/>
          </w:tcPr>
          <w:p w14:paraId="2BBA9D8D" w14:textId="1AFD3739" w:rsidR="005B32C2" w:rsidRDefault="000C36F8" w:rsidP="002B630F">
            <w:pPr>
              <w:jc w:val="center"/>
              <w:rPr>
                <w:rFonts w:ascii="Times New Roman" w:hAnsi="Times New Roman"/>
                <w:color w:val="000000"/>
              </w:rPr>
            </w:pPr>
            <w:r>
              <w:rPr>
                <w:rFonts w:ascii="Times New Roman" w:hAnsi="Times New Roman"/>
                <w:color w:val="000000"/>
              </w:rPr>
              <w:t>16</w:t>
            </w:r>
            <w:r w:rsidR="002B630F">
              <w:rPr>
                <w:rFonts w:ascii="Times New Roman" w:hAnsi="Times New Roman"/>
                <w:color w:val="000000"/>
              </w:rPr>
              <w:t>.3%</w:t>
            </w:r>
          </w:p>
        </w:tc>
        <w:tc>
          <w:tcPr>
            <w:tcW w:w="936" w:type="dxa"/>
            <w:shd w:val="clear" w:color="auto" w:fill="C0C0C0"/>
          </w:tcPr>
          <w:p w14:paraId="313AF2AE" w14:textId="5483FFD3" w:rsidR="005B32C2" w:rsidRDefault="000C36F8" w:rsidP="002B630F">
            <w:pPr>
              <w:jc w:val="center"/>
              <w:rPr>
                <w:rFonts w:ascii="Times New Roman" w:hAnsi="Times New Roman"/>
                <w:color w:val="000000"/>
              </w:rPr>
            </w:pPr>
            <w:r>
              <w:rPr>
                <w:rFonts w:ascii="Times New Roman" w:hAnsi="Times New Roman"/>
                <w:color w:val="000000"/>
              </w:rPr>
              <w:t>20.9</w:t>
            </w:r>
            <w:r w:rsidR="005B32C2">
              <w:rPr>
                <w:rFonts w:ascii="Times New Roman" w:hAnsi="Times New Roman"/>
                <w:color w:val="000000"/>
              </w:rPr>
              <w:t>%</w:t>
            </w:r>
          </w:p>
        </w:tc>
        <w:tc>
          <w:tcPr>
            <w:tcW w:w="936" w:type="dxa"/>
          </w:tcPr>
          <w:p w14:paraId="3D7CC97D" w14:textId="1497E455" w:rsidR="005B32C2" w:rsidRDefault="000C36F8" w:rsidP="002B630F">
            <w:pPr>
              <w:spacing w:before="2" w:after="2"/>
              <w:jc w:val="center"/>
              <w:rPr>
                <w:rFonts w:ascii="Times New Roman" w:hAnsi="Times New Roman"/>
                <w:color w:val="000000"/>
              </w:rPr>
            </w:pPr>
            <w:r>
              <w:rPr>
                <w:rFonts w:ascii="Times New Roman" w:hAnsi="Times New Roman"/>
                <w:color w:val="000000"/>
              </w:rPr>
              <w:t>46</w:t>
            </w:r>
            <w:r w:rsidR="002B630F">
              <w:rPr>
                <w:rFonts w:ascii="Times New Roman" w:hAnsi="Times New Roman"/>
                <w:color w:val="000000"/>
              </w:rPr>
              <w:t>%</w:t>
            </w:r>
          </w:p>
        </w:tc>
        <w:tc>
          <w:tcPr>
            <w:tcW w:w="936" w:type="dxa"/>
            <w:shd w:val="clear" w:color="auto" w:fill="C0C0C0"/>
          </w:tcPr>
          <w:p w14:paraId="774A96CD" w14:textId="3647911D" w:rsidR="005B32C2" w:rsidRDefault="005B32C2" w:rsidP="002B630F">
            <w:pPr>
              <w:jc w:val="center"/>
              <w:rPr>
                <w:rFonts w:ascii="Times New Roman" w:hAnsi="Times New Roman"/>
                <w:color w:val="000000"/>
              </w:rPr>
            </w:pPr>
            <w:r>
              <w:rPr>
                <w:rFonts w:ascii="Times New Roman" w:hAnsi="Times New Roman"/>
                <w:color w:val="000000"/>
              </w:rPr>
              <w:t>35</w:t>
            </w:r>
            <w:r w:rsidR="000C36F8">
              <w:rPr>
                <w:rFonts w:ascii="Times New Roman" w:hAnsi="Times New Roman"/>
                <w:color w:val="000000"/>
              </w:rPr>
              <w:t>.8</w:t>
            </w:r>
            <w:r>
              <w:rPr>
                <w:rFonts w:ascii="Times New Roman" w:hAnsi="Times New Roman"/>
                <w:color w:val="000000"/>
              </w:rPr>
              <w:t>%</w:t>
            </w:r>
          </w:p>
        </w:tc>
        <w:tc>
          <w:tcPr>
            <w:tcW w:w="936" w:type="dxa"/>
          </w:tcPr>
          <w:p w14:paraId="038820E0" w14:textId="20AB1B8F" w:rsidR="005B32C2" w:rsidRDefault="000C36F8" w:rsidP="002B630F">
            <w:pPr>
              <w:jc w:val="center"/>
              <w:rPr>
                <w:rFonts w:ascii="Times New Roman" w:hAnsi="Times New Roman"/>
                <w:color w:val="000000"/>
              </w:rPr>
            </w:pPr>
            <w:r>
              <w:rPr>
                <w:rFonts w:ascii="Times New Roman" w:hAnsi="Times New Roman"/>
                <w:color w:val="000000"/>
              </w:rPr>
              <w:t>30</w:t>
            </w:r>
            <w:r w:rsidR="002B630F">
              <w:rPr>
                <w:rFonts w:ascii="Times New Roman" w:hAnsi="Times New Roman"/>
                <w:color w:val="000000"/>
              </w:rPr>
              <w:t>.6%</w:t>
            </w:r>
          </w:p>
        </w:tc>
        <w:tc>
          <w:tcPr>
            <w:tcW w:w="936" w:type="dxa"/>
            <w:shd w:val="clear" w:color="auto" w:fill="C0C0C0"/>
          </w:tcPr>
          <w:p w14:paraId="1861E228" w14:textId="313D76FC" w:rsidR="005B32C2" w:rsidRDefault="000C36F8" w:rsidP="002B630F">
            <w:pPr>
              <w:jc w:val="center"/>
              <w:rPr>
                <w:rFonts w:ascii="Times New Roman" w:hAnsi="Times New Roman"/>
                <w:color w:val="000000"/>
              </w:rPr>
            </w:pPr>
            <w:r>
              <w:rPr>
                <w:rFonts w:ascii="Times New Roman" w:hAnsi="Times New Roman"/>
                <w:color w:val="000000"/>
              </w:rPr>
              <w:t>41.8</w:t>
            </w:r>
            <w:r w:rsidR="005B32C2">
              <w:rPr>
                <w:rFonts w:ascii="Times New Roman" w:hAnsi="Times New Roman"/>
                <w:color w:val="000000"/>
              </w:rPr>
              <w:t>%</w:t>
            </w:r>
          </w:p>
        </w:tc>
        <w:tc>
          <w:tcPr>
            <w:tcW w:w="936" w:type="dxa"/>
          </w:tcPr>
          <w:p w14:paraId="7E2DD585" w14:textId="10BF7293" w:rsidR="005B32C2" w:rsidRDefault="000C36F8" w:rsidP="002B630F">
            <w:pPr>
              <w:jc w:val="center"/>
              <w:rPr>
                <w:rFonts w:ascii="Times New Roman" w:hAnsi="Times New Roman"/>
                <w:color w:val="000000"/>
              </w:rPr>
            </w:pPr>
            <w:r>
              <w:rPr>
                <w:rFonts w:ascii="Times New Roman" w:hAnsi="Times New Roman"/>
                <w:color w:val="000000"/>
              </w:rPr>
              <w:t>7.1</w:t>
            </w:r>
            <w:r w:rsidR="002B630F">
              <w:rPr>
                <w:rFonts w:ascii="Times New Roman" w:hAnsi="Times New Roman"/>
                <w:color w:val="000000"/>
              </w:rPr>
              <w:t>%</w:t>
            </w:r>
          </w:p>
        </w:tc>
      </w:tr>
    </w:tbl>
    <w:p w14:paraId="2BD3BCA3" w14:textId="77777777" w:rsidR="00FC6ACA" w:rsidRDefault="00FC6ACA" w:rsidP="00FC6ACA">
      <w:pPr>
        <w:rPr>
          <w:rFonts w:ascii="Times New Roman" w:hAnsi="Times New Roman"/>
          <w:color w:val="000000"/>
        </w:rPr>
      </w:pPr>
      <w:r w:rsidRPr="00FC6ACA">
        <w:rPr>
          <w:rFonts w:ascii="Times New Roman" w:hAnsi="Times New Roman"/>
          <w:color w:val="000000"/>
        </w:rPr>
        <w:tab/>
      </w:r>
    </w:p>
    <w:p w14:paraId="74F87142" w14:textId="77777777" w:rsidR="00FC6ACA" w:rsidRPr="00FC6ACA" w:rsidRDefault="00FC6ACA" w:rsidP="00FC6ACA">
      <w:pPr>
        <w:ind w:firstLine="720"/>
        <w:rPr>
          <w:rFonts w:ascii="Times New Roman" w:hAnsi="Times New Roman"/>
          <w:szCs w:val="20"/>
        </w:rPr>
      </w:pPr>
      <w:r w:rsidRPr="00FC6ACA">
        <w:rPr>
          <w:rFonts w:ascii="Times New Roman" w:hAnsi="Times New Roman"/>
          <w:color w:val="000000"/>
          <w:szCs w:val="21"/>
        </w:rPr>
        <w:t xml:space="preserve">Of the 37 lower-division course papers read and assessed, more than 85% were written by first- or second-year students. The majority of students rated in the lowest two portions of the rubric across all three areas assessed. Of the three aspects of information literacy addressed by the rubric, students did best with source evaluation, scoring primarily “competent” (3) and “developing” (2). They struggled most with source integration, scoring primarily “developing” (2) and “beginning” (1). A trend did not necessarily emerge for source attribution; the data demonstrate students’ skills in this area are much more varied. </w:t>
      </w:r>
    </w:p>
    <w:p w14:paraId="7A1DEC15" w14:textId="77777777" w:rsidR="00FC6ACA" w:rsidRPr="00FC6ACA" w:rsidRDefault="00FC6ACA" w:rsidP="00FC6ACA">
      <w:pPr>
        <w:ind w:firstLine="720"/>
        <w:rPr>
          <w:rFonts w:ascii="Times New Roman" w:hAnsi="Times New Roman" w:cs="Times New Roman"/>
          <w:szCs w:val="20"/>
        </w:rPr>
      </w:pPr>
      <w:r w:rsidRPr="00FC6ACA">
        <w:rPr>
          <w:rFonts w:ascii="Times New Roman" w:hAnsi="Times New Roman" w:cs="Times New Roman"/>
          <w:color w:val="000000"/>
          <w:szCs w:val="21"/>
        </w:rPr>
        <w:t>Of the 47 upper-division course papers read and assessed, more than 95% were written by graduating seniors. This upper-division data demonstrates a very similar trend to the lower-division data described above. Students did best with source evaluation and also performed well in source integration. Again, a less visible trend emerged for source attribution, as students’ scores were dispersed more widely across the rubric.</w:t>
      </w:r>
    </w:p>
    <w:p w14:paraId="68F6CC40" w14:textId="49AE6FDE" w:rsidR="00FC6ACA" w:rsidRPr="00FC6ACA" w:rsidRDefault="00FC6ACA" w:rsidP="00FC6ACA">
      <w:pPr>
        <w:rPr>
          <w:rFonts w:ascii="Times New Roman" w:hAnsi="Times New Roman"/>
          <w:szCs w:val="20"/>
        </w:rPr>
      </w:pPr>
      <w:r w:rsidRPr="00FC6ACA">
        <w:rPr>
          <w:rFonts w:ascii="Times New Roman" w:hAnsi="Times New Roman"/>
          <w:color w:val="000000"/>
        </w:rPr>
        <w:lastRenderedPageBreak/>
        <w:tab/>
      </w:r>
      <w:r w:rsidRPr="00FC6ACA">
        <w:rPr>
          <w:rFonts w:ascii="Times New Roman" w:hAnsi="Times New Roman"/>
          <w:color w:val="000000"/>
          <w:szCs w:val="21"/>
        </w:rPr>
        <w:t>Students in this sample of upper-division writing show a marked improvement over the writing samples taken from lower-division students across all areas of information literacy assessed by this project. Especially noteworthy are seniors’ improvement with source integration. The faculty and librarians involved in this project agree that this is the most challenging aspect of source use, so it is si</w:t>
      </w:r>
      <w:r w:rsidR="000C36F8">
        <w:rPr>
          <w:rFonts w:ascii="Times New Roman" w:hAnsi="Times New Roman"/>
          <w:color w:val="000000"/>
          <w:szCs w:val="21"/>
        </w:rPr>
        <w:t>gnificant and heartening that 23</w:t>
      </w:r>
      <w:r w:rsidRPr="00FC6ACA">
        <w:rPr>
          <w:rFonts w:ascii="Times New Roman" w:hAnsi="Times New Roman"/>
          <w:color w:val="000000"/>
          <w:szCs w:val="21"/>
        </w:rPr>
        <w:t>.5% of students in upper-division courses rated “pr</w:t>
      </w:r>
      <w:r w:rsidR="000C36F8">
        <w:rPr>
          <w:rFonts w:ascii="Times New Roman" w:hAnsi="Times New Roman"/>
          <w:color w:val="000000"/>
          <w:szCs w:val="21"/>
        </w:rPr>
        <w:t>oficient” (4) and 55</w:t>
      </w:r>
      <w:r w:rsidRPr="00FC6ACA">
        <w:rPr>
          <w:rFonts w:ascii="Times New Roman" w:hAnsi="Times New Roman"/>
          <w:color w:val="000000"/>
          <w:szCs w:val="21"/>
        </w:rPr>
        <w:t>.1% rated “competent” (3)</w:t>
      </w:r>
      <w:r w:rsidR="00027671">
        <w:rPr>
          <w:rFonts w:ascii="Times New Roman" w:hAnsi="Times New Roman"/>
          <w:color w:val="000000"/>
          <w:szCs w:val="21"/>
        </w:rPr>
        <w:t xml:space="preserve"> in this area.</w:t>
      </w:r>
    </w:p>
    <w:p w14:paraId="5F069F5F" w14:textId="77777777" w:rsidR="00FC6ACA" w:rsidRPr="00FC6ACA" w:rsidRDefault="00FC6ACA">
      <w:pPr>
        <w:rPr>
          <w:rFonts w:ascii="Times New Roman" w:hAnsi="Times New Roman"/>
        </w:rPr>
      </w:pPr>
    </w:p>
    <w:p w14:paraId="1C1CDD79" w14:textId="77777777" w:rsidR="00FC6ACA" w:rsidRPr="00FC6ACA" w:rsidRDefault="00FC6ACA" w:rsidP="00FC6ACA">
      <w:pPr>
        <w:rPr>
          <w:rFonts w:ascii="Times New Roman" w:hAnsi="Times New Roman" w:cs="Times New Roman"/>
          <w:szCs w:val="20"/>
        </w:rPr>
      </w:pPr>
      <w:r w:rsidRPr="00FC6ACA">
        <w:rPr>
          <w:rFonts w:ascii="Times New Roman" w:hAnsi="Times New Roman" w:cs="Times New Roman"/>
          <w:b/>
          <w:bCs/>
          <w:color w:val="000000"/>
          <w:szCs w:val="21"/>
        </w:rPr>
        <w:t>Indirect Assessment</w:t>
      </w:r>
    </w:p>
    <w:p w14:paraId="1A693C42" w14:textId="77777777" w:rsidR="00FC6ACA" w:rsidRPr="00FC6ACA" w:rsidRDefault="00FC6ACA" w:rsidP="00FC6ACA">
      <w:pPr>
        <w:rPr>
          <w:rFonts w:ascii="Times New Roman" w:hAnsi="Times New Roman" w:cs="Times New Roman"/>
          <w:szCs w:val="20"/>
        </w:rPr>
      </w:pPr>
      <w:r w:rsidRPr="00FC6ACA">
        <w:rPr>
          <w:rFonts w:ascii="Times New Roman" w:hAnsi="Times New Roman" w:cs="Times New Roman"/>
          <w:b/>
          <w:bCs/>
          <w:i/>
          <w:iCs/>
          <w:color w:val="000000"/>
          <w:szCs w:val="21"/>
        </w:rPr>
        <w:t xml:space="preserve">Methods and Tools - </w:t>
      </w:r>
      <w:r w:rsidRPr="00FC6ACA">
        <w:rPr>
          <w:rFonts w:ascii="Times New Roman" w:hAnsi="Times New Roman" w:cs="Times New Roman"/>
          <w:b/>
          <w:bCs/>
          <w:color w:val="000000"/>
          <w:szCs w:val="21"/>
        </w:rPr>
        <w:t>Research Process Survey</w:t>
      </w:r>
    </w:p>
    <w:p w14:paraId="52396686" w14:textId="77777777" w:rsidR="00FC6ACA" w:rsidRPr="00FC6ACA" w:rsidRDefault="00FC6ACA" w:rsidP="00FC6ACA">
      <w:pPr>
        <w:ind w:firstLine="720"/>
        <w:rPr>
          <w:rFonts w:ascii="Times New Roman" w:hAnsi="Times New Roman" w:cs="Times New Roman"/>
          <w:szCs w:val="20"/>
        </w:rPr>
      </w:pPr>
      <w:r w:rsidRPr="00FC6ACA">
        <w:rPr>
          <w:rFonts w:ascii="Times New Roman" w:hAnsi="Times New Roman" w:cs="Times New Roman"/>
          <w:color w:val="000000"/>
          <w:szCs w:val="21"/>
        </w:rPr>
        <w:t xml:space="preserve">In conjunction with the direct assessment described above, a Research Process Survey was given via </w:t>
      </w:r>
      <w:proofErr w:type="spellStart"/>
      <w:r w:rsidRPr="00FC6ACA">
        <w:rPr>
          <w:rFonts w:ascii="Times New Roman" w:hAnsi="Times New Roman" w:cs="Times New Roman"/>
          <w:color w:val="000000"/>
          <w:szCs w:val="21"/>
        </w:rPr>
        <w:t>SurveyMonkey</w:t>
      </w:r>
      <w:proofErr w:type="spellEnd"/>
      <w:r w:rsidRPr="00FC6ACA">
        <w:rPr>
          <w:rFonts w:ascii="Times New Roman" w:hAnsi="Times New Roman" w:cs="Times New Roman"/>
          <w:color w:val="000000"/>
          <w:szCs w:val="21"/>
        </w:rPr>
        <w:t xml:space="preserve"> to </w:t>
      </w:r>
      <w:proofErr w:type="gramStart"/>
      <w:r w:rsidRPr="00FC6ACA">
        <w:rPr>
          <w:rFonts w:ascii="Times New Roman" w:hAnsi="Times New Roman" w:cs="Times New Roman"/>
          <w:color w:val="000000"/>
          <w:szCs w:val="21"/>
        </w:rPr>
        <w:t>students</w:t>
      </w:r>
      <w:proofErr w:type="gramEnd"/>
      <w:r w:rsidRPr="00FC6ACA">
        <w:rPr>
          <w:rFonts w:ascii="Times New Roman" w:hAnsi="Times New Roman" w:cs="Times New Roman"/>
          <w:color w:val="000000"/>
          <w:szCs w:val="21"/>
        </w:rPr>
        <w:t xml:space="preserve"> whose work was collected, asking them to reflect on their research process for the assignment and to identify which parts of the research process they found most difficult. This provided a critical look at how students’ perception of the research process compares to their actual writing. </w:t>
      </w:r>
    </w:p>
    <w:p w14:paraId="7F1F0582" w14:textId="77777777" w:rsidR="00FC6ACA" w:rsidRPr="00FC6ACA" w:rsidRDefault="00FC6ACA" w:rsidP="00FC6ACA">
      <w:pPr>
        <w:rPr>
          <w:rFonts w:ascii="Times New Roman" w:hAnsi="Times New Roman"/>
          <w:szCs w:val="20"/>
        </w:rPr>
      </w:pPr>
    </w:p>
    <w:p w14:paraId="64233C78" w14:textId="77777777" w:rsidR="00FC6ACA" w:rsidRPr="00FC6ACA" w:rsidRDefault="00FC6ACA" w:rsidP="00FC6ACA">
      <w:pPr>
        <w:rPr>
          <w:rFonts w:ascii="Times New Roman" w:hAnsi="Times New Roman" w:cs="Times New Roman"/>
          <w:szCs w:val="20"/>
        </w:rPr>
      </w:pPr>
      <w:r w:rsidRPr="00FC6ACA">
        <w:rPr>
          <w:rFonts w:ascii="Times New Roman" w:hAnsi="Times New Roman" w:cs="Times New Roman"/>
          <w:b/>
          <w:bCs/>
          <w:i/>
          <w:iCs/>
          <w:color w:val="000000"/>
          <w:szCs w:val="21"/>
        </w:rPr>
        <w:t>Results</w:t>
      </w:r>
    </w:p>
    <w:p w14:paraId="36D3A554" w14:textId="77777777" w:rsidR="00FC6ACA" w:rsidRPr="00FC6ACA" w:rsidRDefault="00FC6ACA" w:rsidP="00FC6ACA">
      <w:pPr>
        <w:rPr>
          <w:rFonts w:ascii="Times New Roman" w:hAnsi="Times New Roman" w:cs="Times New Roman"/>
          <w:szCs w:val="20"/>
        </w:rPr>
      </w:pPr>
      <w:r w:rsidRPr="00FC6ACA">
        <w:rPr>
          <w:rFonts w:ascii="Times New Roman" w:hAnsi="Times New Roman" w:cs="Times New Roman"/>
          <w:color w:val="000000"/>
          <w:szCs w:val="21"/>
        </w:rPr>
        <w:t>Among all the data gathered in this portion of the assessment, these trends are most notable:</w:t>
      </w:r>
    </w:p>
    <w:p w14:paraId="707A6A45" w14:textId="77777777" w:rsidR="00FC6ACA" w:rsidRPr="00FC6ACA" w:rsidRDefault="00027671" w:rsidP="00FC6ACA">
      <w:pPr>
        <w:numPr>
          <w:ilvl w:val="0"/>
          <w:numId w:val="1"/>
        </w:numPr>
        <w:textAlignment w:val="baseline"/>
        <w:rPr>
          <w:rFonts w:ascii="Times New Roman" w:hAnsi="Times New Roman" w:cs="Times New Roman"/>
          <w:color w:val="000000"/>
          <w:szCs w:val="21"/>
        </w:rPr>
      </w:pPr>
      <w:r>
        <w:rPr>
          <w:rFonts w:ascii="Times New Roman" w:hAnsi="Times New Roman" w:cs="Times New Roman"/>
          <w:color w:val="000000"/>
          <w:szCs w:val="21"/>
        </w:rPr>
        <w:t>About 20% of l</w:t>
      </w:r>
      <w:r w:rsidR="00FC6ACA" w:rsidRPr="00FC6ACA">
        <w:rPr>
          <w:rFonts w:ascii="Times New Roman" w:hAnsi="Times New Roman" w:cs="Times New Roman"/>
          <w:color w:val="000000"/>
          <w:szCs w:val="21"/>
        </w:rPr>
        <w:t>ower-division students reported talking to some member of their family for help with their research, compared to just 2% of students in upper-division classes. This demonstrates that a much greater portion of lower-division students are seeking to fill a ne</w:t>
      </w:r>
      <w:r>
        <w:rPr>
          <w:rFonts w:ascii="Times New Roman" w:hAnsi="Times New Roman" w:cs="Times New Roman"/>
          <w:color w:val="000000"/>
          <w:szCs w:val="21"/>
        </w:rPr>
        <w:t>ed through family members that is</w:t>
      </w:r>
      <w:r w:rsidR="00FC6ACA" w:rsidRPr="00FC6ACA">
        <w:rPr>
          <w:rFonts w:ascii="Times New Roman" w:hAnsi="Times New Roman" w:cs="Times New Roman"/>
          <w:color w:val="000000"/>
          <w:szCs w:val="21"/>
        </w:rPr>
        <w:t xml:space="preserve"> not being met, or sought, on campus.</w:t>
      </w:r>
    </w:p>
    <w:p w14:paraId="234BC258" w14:textId="77777777" w:rsidR="00FC6ACA" w:rsidRPr="00BF3F6D" w:rsidRDefault="00FC6ACA" w:rsidP="00BF3F6D">
      <w:pPr>
        <w:numPr>
          <w:ilvl w:val="0"/>
          <w:numId w:val="1"/>
        </w:numPr>
        <w:textAlignment w:val="baseline"/>
        <w:rPr>
          <w:rFonts w:ascii="Times New Roman" w:hAnsi="Times New Roman" w:cs="Times New Roman"/>
          <w:color w:val="000000"/>
          <w:szCs w:val="21"/>
        </w:rPr>
      </w:pPr>
      <w:r w:rsidRPr="00FC6ACA">
        <w:rPr>
          <w:rFonts w:ascii="Times New Roman" w:hAnsi="Times New Roman" w:cs="Times New Roman"/>
          <w:color w:val="000000"/>
          <w:szCs w:val="21"/>
        </w:rPr>
        <w:t xml:space="preserve">More than 40% of upper-division students consulted a librarian in the course of the research process, but only 20% of lower-division students did so. </w:t>
      </w:r>
      <w:r w:rsidR="00027671" w:rsidRPr="00BF3F6D">
        <w:rPr>
          <w:rFonts w:ascii="Times New Roman" w:hAnsi="Times New Roman" w:cs="Times New Roman"/>
          <w:color w:val="000000"/>
          <w:szCs w:val="21"/>
        </w:rPr>
        <w:t>V</w:t>
      </w:r>
      <w:r w:rsidRPr="00BF3F6D">
        <w:rPr>
          <w:rFonts w:ascii="Times New Roman" w:hAnsi="Times New Roman" w:cs="Times New Roman"/>
          <w:color w:val="000000"/>
          <w:szCs w:val="21"/>
        </w:rPr>
        <w:t>ery few students overall, regardless of class standing, reported consulting with the Writers’ Corner duri</w:t>
      </w:r>
      <w:r w:rsidR="00027671" w:rsidRPr="00BF3F6D">
        <w:rPr>
          <w:rFonts w:ascii="Times New Roman" w:hAnsi="Times New Roman" w:cs="Times New Roman"/>
          <w:color w:val="000000"/>
          <w:szCs w:val="21"/>
        </w:rPr>
        <w:t>ng the course of their research. However,</w:t>
      </w:r>
      <w:r w:rsidRPr="00BF3F6D">
        <w:rPr>
          <w:rFonts w:ascii="Times New Roman" w:hAnsi="Times New Roman" w:cs="Times New Roman"/>
          <w:color w:val="000000"/>
          <w:szCs w:val="21"/>
        </w:rPr>
        <w:t xml:space="preserve"> a vast majority of upper-division students report that “writing my paper” is either “hard” (41%) or “very hard” (22%)</w:t>
      </w:r>
      <w:r w:rsidR="00B555E9" w:rsidRPr="00BF3F6D">
        <w:rPr>
          <w:rFonts w:ascii="Times New Roman" w:hAnsi="Times New Roman" w:cs="Times New Roman"/>
          <w:color w:val="000000"/>
          <w:szCs w:val="21"/>
        </w:rPr>
        <w:t>.</w:t>
      </w:r>
    </w:p>
    <w:p w14:paraId="2C6B6563" w14:textId="77777777" w:rsidR="00FC6ACA" w:rsidRPr="00FC6ACA" w:rsidRDefault="00FC6ACA" w:rsidP="00FC6ACA">
      <w:pPr>
        <w:numPr>
          <w:ilvl w:val="0"/>
          <w:numId w:val="1"/>
        </w:numPr>
        <w:textAlignment w:val="baseline"/>
        <w:rPr>
          <w:rFonts w:ascii="Times New Roman" w:hAnsi="Times New Roman" w:cs="Times New Roman"/>
          <w:color w:val="000000"/>
          <w:szCs w:val="21"/>
        </w:rPr>
      </w:pPr>
      <w:r w:rsidRPr="00FC6ACA">
        <w:rPr>
          <w:rFonts w:ascii="Times New Roman" w:hAnsi="Times New Roman" w:cs="Times New Roman"/>
          <w:color w:val="000000"/>
          <w:szCs w:val="21"/>
        </w:rPr>
        <w:t>Far more upper-division students (43%) than lower-division students (17%) report that “picking a topic”</w:t>
      </w:r>
      <w:r w:rsidR="00B555E9">
        <w:rPr>
          <w:rFonts w:ascii="Times New Roman" w:hAnsi="Times New Roman" w:cs="Times New Roman"/>
          <w:color w:val="000000"/>
          <w:szCs w:val="21"/>
        </w:rPr>
        <w:t xml:space="preserve"> is either “hard” or “very hard</w:t>
      </w:r>
      <w:r w:rsidRPr="00FC6ACA">
        <w:rPr>
          <w:rFonts w:ascii="Times New Roman" w:hAnsi="Times New Roman" w:cs="Times New Roman"/>
          <w:color w:val="000000"/>
          <w:szCs w:val="21"/>
        </w:rPr>
        <w:t>”</w:t>
      </w:r>
      <w:r w:rsidR="00B555E9">
        <w:rPr>
          <w:rFonts w:ascii="Times New Roman" w:hAnsi="Times New Roman" w:cs="Times New Roman"/>
          <w:color w:val="000000"/>
          <w:szCs w:val="21"/>
        </w:rPr>
        <w:t xml:space="preserve"> which may show that upper-division</w:t>
      </w:r>
      <w:r w:rsidRPr="00FC6ACA">
        <w:rPr>
          <w:rFonts w:ascii="Times New Roman" w:hAnsi="Times New Roman" w:cs="Times New Roman"/>
          <w:color w:val="000000"/>
          <w:szCs w:val="21"/>
        </w:rPr>
        <w:t xml:space="preserve"> </w:t>
      </w:r>
      <w:r w:rsidR="00B555E9">
        <w:rPr>
          <w:rFonts w:ascii="Times New Roman" w:hAnsi="Times New Roman" w:cs="Times New Roman"/>
          <w:color w:val="000000"/>
          <w:szCs w:val="21"/>
        </w:rPr>
        <w:t>students are actually more deeply engaged with the research process</w:t>
      </w:r>
      <w:r w:rsidR="00BF3F6D">
        <w:rPr>
          <w:rFonts w:ascii="Times New Roman" w:hAnsi="Times New Roman" w:cs="Times New Roman"/>
          <w:color w:val="000000"/>
          <w:szCs w:val="21"/>
        </w:rPr>
        <w:t>.</w:t>
      </w:r>
    </w:p>
    <w:p w14:paraId="2F1D6261" w14:textId="77777777" w:rsidR="00FC6ACA" w:rsidRPr="00FC6ACA" w:rsidRDefault="00FC6ACA" w:rsidP="00FC6ACA">
      <w:pPr>
        <w:numPr>
          <w:ilvl w:val="0"/>
          <w:numId w:val="1"/>
        </w:numPr>
        <w:textAlignment w:val="baseline"/>
        <w:rPr>
          <w:rFonts w:ascii="Times New Roman" w:hAnsi="Times New Roman" w:cs="Times New Roman"/>
          <w:color w:val="000000"/>
          <w:szCs w:val="21"/>
        </w:rPr>
      </w:pPr>
      <w:r w:rsidRPr="00FC6ACA">
        <w:rPr>
          <w:rFonts w:ascii="Times New Roman" w:hAnsi="Times New Roman" w:cs="Times New Roman"/>
          <w:color w:val="000000"/>
          <w:szCs w:val="21"/>
        </w:rPr>
        <w:t>Only 23% of lower-division students report that “incorporating source into my</w:t>
      </w:r>
      <w:r w:rsidR="00BF3F6D">
        <w:rPr>
          <w:rFonts w:ascii="Times New Roman" w:hAnsi="Times New Roman" w:cs="Times New Roman"/>
          <w:color w:val="000000"/>
          <w:szCs w:val="21"/>
        </w:rPr>
        <w:t xml:space="preserve"> paper” is “hard” or “very hard.</w:t>
      </w:r>
      <w:r w:rsidRPr="00FC6ACA">
        <w:rPr>
          <w:rFonts w:ascii="Times New Roman" w:hAnsi="Times New Roman" w:cs="Times New Roman"/>
          <w:color w:val="000000"/>
          <w:szCs w:val="21"/>
        </w:rPr>
        <w:t xml:space="preserve">” </w:t>
      </w:r>
      <w:r w:rsidR="00B555E9">
        <w:rPr>
          <w:rFonts w:ascii="Times New Roman" w:hAnsi="Times New Roman" w:cs="Times New Roman"/>
          <w:color w:val="000000"/>
          <w:szCs w:val="21"/>
        </w:rPr>
        <w:t xml:space="preserve">Lower-division students may not understand the extent </w:t>
      </w:r>
      <w:r w:rsidR="00BF3F6D">
        <w:rPr>
          <w:rFonts w:ascii="Times New Roman" w:hAnsi="Times New Roman" w:cs="Times New Roman"/>
          <w:color w:val="000000"/>
          <w:szCs w:val="21"/>
        </w:rPr>
        <w:t>to which they need to grow in this area.</w:t>
      </w:r>
    </w:p>
    <w:p w14:paraId="1553EDCB" w14:textId="77777777" w:rsidR="00FC6ACA" w:rsidRPr="00FC6ACA" w:rsidRDefault="00FC6ACA" w:rsidP="00FC6ACA">
      <w:pPr>
        <w:rPr>
          <w:rFonts w:ascii="Times New Roman" w:hAnsi="Times New Roman" w:cs="Times New Roman"/>
          <w:szCs w:val="20"/>
        </w:rPr>
      </w:pPr>
      <w:r w:rsidRPr="00FC6ACA">
        <w:rPr>
          <w:rFonts w:ascii="Times New Roman" w:hAnsi="Times New Roman" w:cs="Times New Roman"/>
          <w:color w:val="000000"/>
        </w:rPr>
        <w:tab/>
      </w:r>
    </w:p>
    <w:p w14:paraId="4FD65452" w14:textId="77777777" w:rsidR="00FC6ACA" w:rsidRPr="00FC6ACA" w:rsidRDefault="00FC6ACA" w:rsidP="00FC6ACA">
      <w:pPr>
        <w:rPr>
          <w:rFonts w:ascii="Times New Roman" w:hAnsi="Times New Roman" w:cs="Times New Roman"/>
          <w:szCs w:val="20"/>
        </w:rPr>
      </w:pPr>
      <w:r w:rsidRPr="00FC6ACA">
        <w:rPr>
          <w:rFonts w:ascii="Times New Roman" w:hAnsi="Times New Roman" w:cs="Times New Roman"/>
          <w:b/>
          <w:bCs/>
          <w:i/>
          <w:iCs/>
          <w:color w:val="000000"/>
          <w:szCs w:val="21"/>
        </w:rPr>
        <w:t xml:space="preserve">Methods and Tools - </w:t>
      </w:r>
      <w:r w:rsidRPr="00FC6ACA">
        <w:rPr>
          <w:rFonts w:ascii="Times New Roman" w:hAnsi="Times New Roman" w:cs="Times New Roman"/>
          <w:b/>
          <w:bCs/>
          <w:color w:val="000000"/>
          <w:szCs w:val="21"/>
        </w:rPr>
        <w:t>National Survey of Student Engagement (NSSE) Survey</w:t>
      </w:r>
    </w:p>
    <w:p w14:paraId="6C6DA3E1" w14:textId="77777777" w:rsidR="00FC6ACA" w:rsidRPr="00FC6ACA" w:rsidRDefault="00D95399" w:rsidP="00FC6ACA">
      <w:pPr>
        <w:ind w:firstLine="720"/>
        <w:rPr>
          <w:rFonts w:ascii="Times New Roman" w:hAnsi="Times New Roman" w:cs="Times New Roman"/>
          <w:szCs w:val="20"/>
        </w:rPr>
      </w:pPr>
      <w:r>
        <w:rPr>
          <w:rFonts w:ascii="Times New Roman" w:hAnsi="Times New Roman" w:cs="Times New Roman"/>
          <w:color w:val="000000"/>
          <w:szCs w:val="21"/>
        </w:rPr>
        <w:t xml:space="preserve">First-year and senior </w:t>
      </w:r>
      <w:r w:rsidR="00FC6ACA" w:rsidRPr="00FC6ACA">
        <w:rPr>
          <w:rFonts w:ascii="Times New Roman" w:hAnsi="Times New Roman" w:cs="Times New Roman"/>
          <w:color w:val="000000"/>
          <w:szCs w:val="21"/>
        </w:rPr>
        <w:t>students were given NSSE’s “Experiences with Information Literacy” survey in</w:t>
      </w:r>
      <w:r>
        <w:rPr>
          <w:rFonts w:ascii="Times New Roman" w:hAnsi="Times New Roman" w:cs="Times New Roman"/>
          <w:color w:val="000000"/>
          <w:szCs w:val="21"/>
        </w:rPr>
        <w:t xml:space="preserve"> 2014. </w:t>
      </w:r>
      <w:r w:rsidR="00FC6ACA" w:rsidRPr="00FC6ACA">
        <w:rPr>
          <w:rFonts w:ascii="Times New Roman" w:hAnsi="Times New Roman" w:cs="Times New Roman"/>
          <w:color w:val="000000"/>
          <w:szCs w:val="21"/>
        </w:rPr>
        <w:t>This additional indirect assessment provides further insight into students’ experiences with skill development and in-class assignments related to information literacy</w:t>
      </w:r>
      <w:r w:rsidR="00BF3F6D">
        <w:rPr>
          <w:rFonts w:ascii="Times New Roman" w:hAnsi="Times New Roman" w:cs="Times New Roman"/>
          <w:color w:val="000000"/>
          <w:szCs w:val="21"/>
        </w:rPr>
        <w:t>. The students who participated in this survey were not necessarily the same as those involved in the assessment efforts described above.</w:t>
      </w:r>
    </w:p>
    <w:p w14:paraId="4534E3A0" w14:textId="77777777" w:rsidR="00FC6ACA" w:rsidRPr="00FC6ACA" w:rsidRDefault="00FC6ACA" w:rsidP="00FC6ACA">
      <w:pPr>
        <w:rPr>
          <w:rFonts w:ascii="Times New Roman" w:hAnsi="Times New Roman"/>
          <w:szCs w:val="20"/>
        </w:rPr>
      </w:pPr>
    </w:p>
    <w:p w14:paraId="190D58C1" w14:textId="77777777" w:rsidR="00FC6ACA" w:rsidRPr="00FC6ACA" w:rsidRDefault="00FC6ACA" w:rsidP="00FC6ACA">
      <w:pPr>
        <w:rPr>
          <w:rFonts w:ascii="Times New Roman" w:hAnsi="Times New Roman" w:cs="Times New Roman"/>
          <w:szCs w:val="20"/>
        </w:rPr>
      </w:pPr>
      <w:r w:rsidRPr="00FC6ACA">
        <w:rPr>
          <w:rFonts w:ascii="Times New Roman" w:hAnsi="Times New Roman" w:cs="Times New Roman"/>
          <w:b/>
          <w:bCs/>
          <w:i/>
          <w:iCs/>
          <w:color w:val="000000"/>
          <w:szCs w:val="21"/>
        </w:rPr>
        <w:t>Results</w:t>
      </w:r>
    </w:p>
    <w:p w14:paraId="30129F9C" w14:textId="77777777" w:rsidR="00FC6ACA" w:rsidRPr="00FC6ACA" w:rsidRDefault="00FC6ACA" w:rsidP="00FC6ACA">
      <w:pPr>
        <w:rPr>
          <w:rFonts w:ascii="Times New Roman" w:hAnsi="Times New Roman" w:cs="Times New Roman"/>
          <w:szCs w:val="20"/>
        </w:rPr>
      </w:pPr>
      <w:r w:rsidRPr="00FC6ACA">
        <w:rPr>
          <w:rFonts w:ascii="Times New Roman" w:hAnsi="Times New Roman" w:cs="Times New Roman"/>
          <w:b/>
          <w:bCs/>
          <w:i/>
          <w:iCs/>
          <w:color w:val="000000"/>
        </w:rPr>
        <w:tab/>
      </w:r>
      <w:r w:rsidRPr="00FC6ACA">
        <w:rPr>
          <w:rFonts w:ascii="Times New Roman" w:hAnsi="Times New Roman" w:cs="Times New Roman"/>
          <w:color w:val="000000"/>
          <w:szCs w:val="21"/>
        </w:rPr>
        <w:t xml:space="preserve">Westmont </w:t>
      </w:r>
      <w:r w:rsidR="005C272E">
        <w:rPr>
          <w:rFonts w:ascii="Times New Roman" w:hAnsi="Times New Roman" w:cs="Times New Roman"/>
          <w:color w:val="000000"/>
          <w:szCs w:val="21"/>
        </w:rPr>
        <w:t xml:space="preserve">senior </w:t>
      </w:r>
      <w:r w:rsidRPr="00FC6ACA">
        <w:rPr>
          <w:rFonts w:ascii="Times New Roman" w:hAnsi="Times New Roman" w:cs="Times New Roman"/>
          <w:color w:val="000000"/>
          <w:szCs w:val="21"/>
        </w:rPr>
        <w:t xml:space="preserve">students’ survey responses were at or above the national mean scores for almost every question asked on the NSSE survey. Though this is an encouraging sign, some trends </w:t>
      </w:r>
      <w:r w:rsidR="00BF3F6D">
        <w:rPr>
          <w:rFonts w:ascii="Times New Roman" w:hAnsi="Times New Roman" w:cs="Times New Roman"/>
          <w:color w:val="000000"/>
          <w:szCs w:val="21"/>
        </w:rPr>
        <w:t xml:space="preserve">among seniors </w:t>
      </w:r>
      <w:r w:rsidRPr="00FC6ACA">
        <w:rPr>
          <w:rFonts w:ascii="Times New Roman" w:hAnsi="Times New Roman" w:cs="Times New Roman"/>
          <w:color w:val="000000"/>
          <w:szCs w:val="21"/>
        </w:rPr>
        <w:t>are worth noting:</w:t>
      </w:r>
    </w:p>
    <w:p w14:paraId="5581DFB0" w14:textId="77777777" w:rsidR="00FC6ACA" w:rsidRPr="00FC6ACA" w:rsidRDefault="00FC6ACA" w:rsidP="00FC6ACA">
      <w:pPr>
        <w:numPr>
          <w:ilvl w:val="0"/>
          <w:numId w:val="2"/>
        </w:numPr>
        <w:textAlignment w:val="baseline"/>
        <w:rPr>
          <w:rFonts w:ascii="Times New Roman" w:hAnsi="Times New Roman" w:cs="Times New Roman"/>
          <w:color w:val="000000"/>
          <w:szCs w:val="21"/>
        </w:rPr>
      </w:pPr>
      <w:r w:rsidRPr="00FC6ACA">
        <w:rPr>
          <w:rFonts w:ascii="Times New Roman" w:hAnsi="Times New Roman" w:cs="Times New Roman"/>
          <w:color w:val="000000"/>
          <w:szCs w:val="21"/>
        </w:rPr>
        <w:t xml:space="preserve">The majority (58%) of </w:t>
      </w:r>
      <w:r w:rsidR="005C272E">
        <w:rPr>
          <w:rFonts w:ascii="Times New Roman" w:hAnsi="Times New Roman" w:cs="Times New Roman"/>
          <w:color w:val="000000"/>
          <w:szCs w:val="21"/>
        </w:rPr>
        <w:t>seniors</w:t>
      </w:r>
      <w:r w:rsidRPr="00FC6ACA">
        <w:rPr>
          <w:rFonts w:ascii="Times New Roman" w:hAnsi="Times New Roman" w:cs="Times New Roman"/>
          <w:color w:val="000000"/>
          <w:szCs w:val="21"/>
        </w:rPr>
        <w:t xml:space="preserve"> reported that professors emphasized “appropriately citing the sources used in a paper or project” “very much.” However, our assessment of student </w:t>
      </w:r>
      <w:r w:rsidRPr="00FC6ACA">
        <w:rPr>
          <w:rFonts w:ascii="Times New Roman" w:hAnsi="Times New Roman" w:cs="Times New Roman"/>
          <w:color w:val="000000"/>
          <w:szCs w:val="21"/>
        </w:rPr>
        <w:lastRenderedPageBreak/>
        <w:t xml:space="preserve">writing found that this is the area in which we see students struggle the most. This seems to demonstrate a disparity between what is emphasized in the classroom and how students actually perform with that task. </w:t>
      </w:r>
    </w:p>
    <w:p w14:paraId="726F4FBB" w14:textId="77777777" w:rsidR="00FC6ACA" w:rsidRPr="00FC6ACA" w:rsidRDefault="00FC6ACA" w:rsidP="00FC6ACA">
      <w:pPr>
        <w:numPr>
          <w:ilvl w:val="0"/>
          <w:numId w:val="2"/>
        </w:numPr>
        <w:textAlignment w:val="baseline"/>
        <w:rPr>
          <w:rFonts w:ascii="Times New Roman" w:hAnsi="Times New Roman" w:cs="Times New Roman"/>
          <w:color w:val="000000"/>
          <w:szCs w:val="21"/>
        </w:rPr>
      </w:pPr>
      <w:r w:rsidRPr="00FC6ACA">
        <w:rPr>
          <w:rFonts w:ascii="Times New Roman" w:hAnsi="Times New Roman" w:cs="Times New Roman"/>
          <w:color w:val="000000"/>
          <w:szCs w:val="21"/>
        </w:rPr>
        <w:t>S</w:t>
      </w:r>
      <w:r w:rsidR="005C272E">
        <w:rPr>
          <w:rFonts w:ascii="Times New Roman" w:hAnsi="Times New Roman" w:cs="Times New Roman"/>
          <w:color w:val="000000"/>
          <w:szCs w:val="21"/>
        </w:rPr>
        <w:t>eniors</w:t>
      </w:r>
      <w:r w:rsidRPr="00FC6ACA">
        <w:rPr>
          <w:rFonts w:ascii="Times New Roman" w:hAnsi="Times New Roman" w:cs="Times New Roman"/>
          <w:color w:val="000000"/>
          <w:szCs w:val="21"/>
        </w:rPr>
        <w:t xml:space="preserve"> reported that 46% of the time they “sometimes” exclude a source due to its “questionable quality,” suggesting this isn’t a</w:t>
      </w:r>
      <w:r w:rsidR="00BF3F6D">
        <w:rPr>
          <w:rFonts w:ascii="Times New Roman" w:hAnsi="Times New Roman" w:cs="Times New Roman"/>
          <w:color w:val="000000"/>
          <w:szCs w:val="21"/>
        </w:rPr>
        <w:t xml:space="preserve"> terribly</w:t>
      </w:r>
      <w:r w:rsidRPr="00FC6ACA">
        <w:rPr>
          <w:rFonts w:ascii="Times New Roman" w:hAnsi="Times New Roman" w:cs="Times New Roman"/>
          <w:color w:val="000000"/>
          <w:szCs w:val="21"/>
        </w:rPr>
        <w:t xml:space="preserve"> habitual practice for them. T</w:t>
      </w:r>
      <w:r w:rsidR="00D56290">
        <w:rPr>
          <w:rFonts w:ascii="Times New Roman" w:hAnsi="Times New Roman" w:cs="Times New Roman"/>
          <w:color w:val="000000"/>
          <w:szCs w:val="21"/>
        </w:rPr>
        <w:t>he</w:t>
      </w:r>
      <w:r w:rsidRPr="00FC6ACA">
        <w:rPr>
          <w:rFonts w:ascii="Times New Roman" w:hAnsi="Times New Roman" w:cs="Times New Roman"/>
          <w:color w:val="000000"/>
          <w:szCs w:val="21"/>
        </w:rPr>
        <w:t xml:space="preserve"> responses to this survey question seem to suggest that either students are usually finding reliable sources, thus reducing the need to exclude </w:t>
      </w:r>
      <w:r w:rsidR="00D56290">
        <w:rPr>
          <w:rFonts w:ascii="Times New Roman" w:hAnsi="Times New Roman" w:cs="Times New Roman"/>
          <w:color w:val="000000"/>
          <w:szCs w:val="21"/>
        </w:rPr>
        <w:t>poor sources,</w:t>
      </w:r>
      <w:r w:rsidRPr="00FC6ACA">
        <w:rPr>
          <w:rFonts w:ascii="Times New Roman" w:hAnsi="Times New Roman" w:cs="Times New Roman"/>
          <w:color w:val="000000"/>
          <w:szCs w:val="21"/>
        </w:rPr>
        <w:t xml:space="preserve"> or students are not thinking as critically about the content of the sources they use. </w:t>
      </w:r>
    </w:p>
    <w:p w14:paraId="3352AF3F" w14:textId="77777777" w:rsidR="00FC6ACA" w:rsidRPr="00FC6ACA" w:rsidRDefault="00FC6ACA" w:rsidP="00FC6ACA">
      <w:pPr>
        <w:numPr>
          <w:ilvl w:val="0"/>
          <w:numId w:val="2"/>
        </w:numPr>
        <w:textAlignment w:val="baseline"/>
        <w:rPr>
          <w:rFonts w:ascii="Times New Roman" w:hAnsi="Times New Roman" w:cs="Times New Roman"/>
          <w:color w:val="000000"/>
          <w:szCs w:val="21"/>
        </w:rPr>
      </w:pPr>
      <w:r w:rsidRPr="00FC6ACA">
        <w:rPr>
          <w:rFonts w:ascii="Times New Roman" w:hAnsi="Times New Roman" w:cs="Times New Roman"/>
          <w:color w:val="000000"/>
          <w:szCs w:val="21"/>
        </w:rPr>
        <w:t>S</w:t>
      </w:r>
      <w:r w:rsidR="005C272E">
        <w:rPr>
          <w:rFonts w:ascii="Times New Roman" w:hAnsi="Times New Roman" w:cs="Times New Roman"/>
          <w:color w:val="000000"/>
          <w:szCs w:val="21"/>
        </w:rPr>
        <w:t>eniors</w:t>
      </w:r>
      <w:r w:rsidRPr="00FC6ACA">
        <w:rPr>
          <w:rFonts w:ascii="Times New Roman" w:hAnsi="Times New Roman" w:cs="Times New Roman"/>
          <w:color w:val="000000"/>
          <w:szCs w:val="21"/>
        </w:rPr>
        <w:t xml:space="preserve"> also reported that 47% of the time they only “sometimes” change the focus of a paper based on information gathered in the research process, which may demonstrate a reluctance on the part of many students to be open to considering new ideas or directions for their research, which is an important part of the research process.  </w:t>
      </w:r>
    </w:p>
    <w:p w14:paraId="0619D689" w14:textId="77777777" w:rsidR="00FC6ACA" w:rsidRPr="00FC6ACA" w:rsidRDefault="00FC6ACA" w:rsidP="00FC6ACA">
      <w:pPr>
        <w:rPr>
          <w:rFonts w:ascii="Times New Roman" w:hAnsi="Times New Roman"/>
          <w:szCs w:val="20"/>
        </w:rPr>
      </w:pPr>
    </w:p>
    <w:p w14:paraId="284806A9" w14:textId="77777777" w:rsidR="00FC6ACA" w:rsidRPr="00FC6ACA" w:rsidRDefault="00FC6ACA" w:rsidP="00FC6ACA">
      <w:pPr>
        <w:rPr>
          <w:rFonts w:ascii="Times New Roman" w:hAnsi="Times New Roman" w:cs="Times New Roman"/>
          <w:szCs w:val="20"/>
        </w:rPr>
      </w:pPr>
      <w:r w:rsidRPr="00FC6ACA">
        <w:rPr>
          <w:rFonts w:ascii="Times New Roman" w:hAnsi="Times New Roman" w:cs="Times New Roman"/>
          <w:b/>
          <w:bCs/>
          <w:color w:val="000000"/>
          <w:szCs w:val="21"/>
        </w:rPr>
        <w:t>Recommendations</w:t>
      </w:r>
    </w:p>
    <w:p w14:paraId="6E344068" w14:textId="77777777" w:rsidR="00FC6ACA" w:rsidRPr="00FC6ACA" w:rsidRDefault="00FC6ACA" w:rsidP="00FC6ACA">
      <w:pPr>
        <w:rPr>
          <w:rFonts w:ascii="Times New Roman" w:hAnsi="Times New Roman" w:cs="Times New Roman"/>
          <w:szCs w:val="20"/>
        </w:rPr>
      </w:pPr>
      <w:r w:rsidRPr="00FC6ACA">
        <w:rPr>
          <w:rFonts w:ascii="Times New Roman" w:hAnsi="Times New Roman" w:cs="Times New Roman"/>
          <w:color w:val="000000"/>
        </w:rPr>
        <w:tab/>
      </w:r>
      <w:r w:rsidRPr="00FC6ACA">
        <w:rPr>
          <w:rFonts w:ascii="Times New Roman" w:hAnsi="Times New Roman" w:cs="Times New Roman"/>
          <w:color w:val="000000"/>
          <w:szCs w:val="21"/>
        </w:rPr>
        <w:t xml:space="preserve">Several discussions are planned for the coming year to provide faculty and librarians a forum for reviewing this data and collaborating on ways to improve students’ information literacy skills, especially when it comes to source integration. </w:t>
      </w:r>
    </w:p>
    <w:p w14:paraId="6597CCC4" w14:textId="77777777" w:rsidR="00FC6ACA" w:rsidRPr="00BF3F6D" w:rsidRDefault="00FC6ACA" w:rsidP="00BF3F6D">
      <w:pPr>
        <w:ind w:firstLine="720"/>
        <w:rPr>
          <w:rFonts w:ascii="Times New Roman" w:hAnsi="Times New Roman" w:cs="Times New Roman"/>
          <w:color w:val="000000"/>
          <w:szCs w:val="21"/>
        </w:rPr>
      </w:pPr>
      <w:r w:rsidRPr="00FC6ACA">
        <w:rPr>
          <w:rFonts w:ascii="Times New Roman" w:hAnsi="Times New Roman" w:cs="Times New Roman"/>
          <w:color w:val="000000"/>
          <w:szCs w:val="21"/>
        </w:rPr>
        <w:t xml:space="preserve">Source integration is the most challenging and most important aspect of the information literacy skills and abilities this project assessed. Source integration requires students to read sources critically and think critically about how to draw an author’s argument or work into conversation with their own writing. When source-based assignments are </w:t>
      </w:r>
      <w:proofErr w:type="spellStart"/>
      <w:r w:rsidRPr="00FC6ACA">
        <w:rPr>
          <w:rFonts w:ascii="Times New Roman" w:hAnsi="Times New Roman" w:cs="Times New Roman"/>
          <w:color w:val="000000"/>
          <w:szCs w:val="21"/>
        </w:rPr>
        <w:t>scaffolded</w:t>
      </w:r>
      <w:proofErr w:type="spellEnd"/>
      <w:r w:rsidRPr="00FC6ACA">
        <w:rPr>
          <w:rFonts w:ascii="Times New Roman" w:hAnsi="Times New Roman" w:cs="Times New Roman"/>
          <w:color w:val="000000"/>
          <w:szCs w:val="21"/>
        </w:rPr>
        <w:t xml:space="preserve"> in such a way that requires students repeatedly demonstrate how their writing is developing in these areas, and provides them with regular feedback, </w:t>
      </w:r>
      <w:r w:rsidR="00BF3F6D">
        <w:rPr>
          <w:rFonts w:ascii="Times New Roman" w:hAnsi="Times New Roman" w:cs="Times New Roman"/>
          <w:color w:val="000000"/>
          <w:szCs w:val="21"/>
        </w:rPr>
        <w:t xml:space="preserve">we expect students would show greater improvement in this area. </w:t>
      </w:r>
      <w:r w:rsidRPr="00FC6ACA">
        <w:rPr>
          <w:rFonts w:ascii="Times New Roman" w:hAnsi="Times New Roman" w:cs="Times New Roman"/>
          <w:color w:val="000000"/>
          <w:szCs w:val="21"/>
        </w:rPr>
        <w:t>By opening conversation among faculty and librarians, we can discuss where, or if, these skills are already explicitly taught, and strategize</w:t>
      </w:r>
      <w:r w:rsidR="005C272E">
        <w:rPr>
          <w:rFonts w:ascii="Times New Roman" w:hAnsi="Times New Roman" w:cs="Times New Roman"/>
          <w:color w:val="000000"/>
          <w:szCs w:val="21"/>
        </w:rPr>
        <w:t xml:space="preserve"> further</w:t>
      </w:r>
      <w:r w:rsidRPr="00FC6ACA">
        <w:rPr>
          <w:rFonts w:ascii="Times New Roman" w:hAnsi="Times New Roman" w:cs="Times New Roman"/>
          <w:color w:val="000000"/>
          <w:szCs w:val="21"/>
        </w:rPr>
        <w:t xml:space="preserve"> about </w:t>
      </w:r>
      <w:r w:rsidR="005C272E">
        <w:rPr>
          <w:rFonts w:ascii="Times New Roman" w:hAnsi="Times New Roman" w:cs="Times New Roman"/>
          <w:color w:val="000000"/>
          <w:szCs w:val="21"/>
        </w:rPr>
        <w:t>where else this might be integrated</w:t>
      </w:r>
      <w:r w:rsidR="00BF3F6D">
        <w:rPr>
          <w:rFonts w:ascii="Times New Roman" w:hAnsi="Times New Roman" w:cs="Times New Roman"/>
          <w:color w:val="000000"/>
          <w:szCs w:val="21"/>
        </w:rPr>
        <w:t xml:space="preserve">. Another related question to explore is what </w:t>
      </w:r>
      <w:r w:rsidR="00D56290">
        <w:rPr>
          <w:rFonts w:ascii="Times New Roman" w:hAnsi="Times New Roman" w:cs="Times New Roman"/>
          <w:color w:val="000000"/>
          <w:szCs w:val="21"/>
        </w:rPr>
        <w:t xml:space="preserve">other </w:t>
      </w:r>
      <w:r w:rsidR="00BF3F6D">
        <w:rPr>
          <w:rFonts w:ascii="Times New Roman" w:hAnsi="Times New Roman" w:cs="Times New Roman"/>
          <w:color w:val="000000"/>
          <w:szCs w:val="21"/>
        </w:rPr>
        <w:t xml:space="preserve">factors contributed to the marked improvement found in upper-division course writing over the lower-division writing samples, and how can we ensure more students are exposed to those </w:t>
      </w:r>
      <w:r w:rsidR="00D56290">
        <w:rPr>
          <w:rFonts w:ascii="Times New Roman" w:hAnsi="Times New Roman" w:cs="Times New Roman"/>
          <w:color w:val="000000"/>
          <w:szCs w:val="21"/>
        </w:rPr>
        <w:t>benefits?</w:t>
      </w:r>
      <w:r w:rsidRPr="00FC6ACA">
        <w:rPr>
          <w:rFonts w:ascii="Times New Roman" w:hAnsi="Times New Roman" w:cs="Times New Roman"/>
          <w:color w:val="000000"/>
          <w:szCs w:val="21"/>
        </w:rPr>
        <w:t xml:space="preserve"> </w:t>
      </w:r>
    </w:p>
    <w:p w14:paraId="0B976621" w14:textId="77777777" w:rsidR="00A866A5" w:rsidRDefault="00FC6ACA" w:rsidP="00FC6ACA">
      <w:pPr>
        <w:rPr>
          <w:rFonts w:ascii="Times New Roman" w:hAnsi="Times New Roman"/>
          <w:color w:val="000000"/>
          <w:szCs w:val="21"/>
        </w:rPr>
      </w:pPr>
      <w:r w:rsidRPr="00FC6ACA">
        <w:rPr>
          <w:rFonts w:ascii="Times New Roman" w:hAnsi="Times New Roman"/>
          <w:color w:val="000000"/>
        </w:rPr>
        <w:tab/>
      </w:r>
      <w:r w:rsidRPr="00FC6ACA">
        <w:rPr>
          <w:rFonts w:ascii="Times New Roman" w:hAnsi="Times New Roman"/>
          <w:color w:val="000000"/>
          <w:szCs w:val="21"/>
        </w:rPr>
        <w:t xml:space="preserve">One </w:t>
      </w:r>
      <w:r w:rsidR="005C272E">
        <w:rPr>
          <w:rFonts w:ascii="Times New Roman" w:hAnsi="Times New Roman"/>
          <w:color w:val="000000"/>
          <w:szCs w:val="21"/>
        </w:rPr>
        <w:t xml:space="preserve">senior </w:t>
      </w:r>
      <w:r w:rsidRPr="00FC6ACA">
        <w:rPr>
          <w:rFonts w:ascii="Times New Roman" w:hAnsi="Times New Roman"/>
          <w:color w:val="000000"/>
          <w:szCs w:val="21"/>
        </w:rPr>
        <w:t>student commented on the Research Process Survey that “[librarians] visiting classes isn’t enough; mandatory one-on-one meetings [with a l</w:t>
      </w:r>
      <w:r w:rsidR="00D56290">
        <w:rPr>
          <w:rFonts w:ascii="Times New Roman" w:hAnsi="Times New Roman"/>
          <w:color w:val="000000"/>
          <w:szCs w:val="21"/>
        </w:rPr>
        <w:t>ibrarian] was more effective.” And m</w:t>
      </w:r>
      <w:r w:rsidRPr="00FC6ACA">
        <w:rPr>
          <w:rFonts w:ascii="Times New Roman" w:hAnsi="Times New Roman"/>
          <w:color w:val="000000"/>
          <w:szCs w:val="21"/>
        </w:rPr>
        <w:t>any librarians have anecdotally shared the benefits of meeting individually or in small groups with students, even at the cost of the time involved</w:t>
      </w:r>
      <w:r w:rsidR="005C272E">
        <w:rPr>
          <w:rFonts w:ascii="Times New Roman" w:hAnsi="Times New Roman"/>
          <w:color w:val="000000"/>
          <w:szCs w:val="21"/>
        </w:rPr>
        <w:t xml:space="preserve"> on the part of the librarian</w:t>
      </w:r>
      <w:r w:rsidRPr="00FC6ACA">
        <w:rPr>
          <w:rFonts w:ascii="Times New Roman" w:hAnsi="Times New Roman"/>
          <w:color w:val="000000"/>
          <w:szCs w:val="21"/>
        </w:rPr>
        <w:t>. Librarians are committed to continuing to explore this and other creative ways of working with students to help them develop and refine their information literacy skills.</w:t>
      </w:r>
    </w:p>
    <w:p w14:paraId="4A35BB2E" w14:textId="77777777" w:rsidR="00075F3D" w:rsidRPr="00A866A5" w:rsidRDefault="00075F3D">
      <w:pPr>
        <w:rPr>
          <w:rFonts w:ascii="Times New Roman" w:hAnsi="Times New Roman"/>
          <w:szCs w:val="20"/>
        </w:rPr>
      </w:pPr>
    </w:p>
    <w:sectPr w:rsidR="00075F3D" w:rsidRPr="00A866A5" w:rsidSect="00FC6ACA">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4D"/>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85BAB"/>
    <w:multiLevelType w:val="multilevel"/>
    <w:tmpl w:val="14960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BD3242"/>
    <w:multiLevelType w:val="multilevel"/>
    <w:tmpl w:val="7520B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F3D"/>
    <w:rsid w:val="00027671"/>
    <w:rsid w:val="00075F3D"/>
    <w:rsid w:val="00085F42"/>
    <w:rsid w:val="000C36F8"/>
    <w:rsid w:val="0018491E"/>
    <w:rsid w:val="002B630F"/>
    <w:rsid w:val="003F7B97"/>
    <w:rsid w:val="005B32C2"/>
    <w:rsid w:val="005C272E"/>
    <w:rsid w:val="0074221E"/>
    <w:rsid w:val="00A866A5"/>
    <w:rsid w:val="00B555E9"/>
    <w:rsid w:val="00B74C36"/>
    <w:rsid w:val="00BF3F6D"/>
    <w:rsid w:val="00CC1C1D"/>
    <w:rsid w:val="00D56290"/>
    <w:rsid w:val="00D95399"/>
    <w:rsid w:val="00FB6135"/>
    <w:rsid w:val="00FC6AC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9AE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67">
    <w:lsdException w:name="Normal (Web)" w:uiPriority="99"/>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MediumGrid31">
    <w:name w:val="Medium Grid 31"/>
    <w:basedOn w:val="TableNormal"/>
    <w:uiPriority w:val="69"/>
    <w:rsid w:val="00075F3D"/>
    <w:rPr>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NormalWeb">
    <w:name w:val="Normal (Web)"/>
    <w:basedOn w:val="Normal"/>
    <w:uiPriority w:val="99"/>
    <w:rsid w:val="00FC6ACA"/>
    <w:pPr>
      <w:spacing w:beforeLines="1" w:afterLines="1"/>
    </w:pPr>
    <w:rPr>
      <w:rFonts w:ascii="Times" w:hAnsi="Times" w:cs="Times New Roman"/>
      <w:sz w:val="20"/>
      <w:szCs w:val="20"/>
    </w:rPr>
  </w:style>
  <w:style w:type="character" w:customStyle="1" w:styleId="apple-tab-span">
    <w:name w:val="apple-tab-span"/>
    <w:basedOn w:val="DefaultParagraphFont"/>
    <w:rsid w:val="00FC6ACA"/>
  </w:style>
  <w:style w:type="table" w:styleId="TableGrid">
    <w:name w:val="Table Grid"/>
    <w:basedOn w:val="TableNormal"/>
    <w:uiPriority w:val="59"/>
    <w:rsid w:val="00085F4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67">
    <w:lsdException w:name="Normal (Web)" w:uiPriority="99"/>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MediumGrid31">
    <w:name w:val="Medium Grid 31"/>
    <w:basedOn w:val="TableNormal"/>
    <w:uiPriority w:val="69"/>
    <w:rsid w:val="00075F3D"/>
    <w:rPr>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NormalWeb">
    <w:name w:val="Normal (Web)"/>
    <w:basedOn w:val="Normal"/>
    <w:uiPriority w:val="99"/>
    <w:rsid w:val="00FC6ACA"/>
    <w:pPr>
      <w:spacing w:beforeLines="1" w:afterLines="1"/>
    </w:pPr>
    <w:rPr>
      <w:rFonts w:ascii="Times" w:hAnsi="Times" w:cs="Times New Roman"/>
      <w:sz w:val="20"/>
      <w:szCs w:val="20"/>
    </w:rPr>
  </w:style>
  <w:style w:type="character" w:customStyle="1" w:styleId="apple-tab-span">
    <w:name w:val="apple-tab-span"/>
    <w:basedOn w:val="DefaultParagraphFont"/>
    <w:rsid w:val="00FC6ACA"/>
  </w:style>
  <w:style w:type="table" w:styleId="TableGrid">
    <w:name w:val="Table Grid"/>
    <w:basedOn w:val="TableNormal"/>
    <w:uiPriority w:val="59"/>
    <w:rsid w:val="00085F4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73876">
      <w:bodyDiv w:val="1"/>
      <w:marLeft w:val="0"/>
      <w:marRight w:val="0"/>
      <w:marTop w:val="0"/>
      <w:marBottom w:val="0"/>
      <w:divBdr>
        <w:top w:val="none" w:sz="0" w:space="0" w:color="auto"/>
        <w:left w:val="none" w:sz="0" w:space="0" w:color="auto"/>
        <w:bottom w:val="none" w:sz="0" w:space="0" w:color="auto"/>
        <w:right w:val="none" w:sz="0" w:space="0" w:color="auto"/>
      </w:divBdr>
    </w:div>
    <w:div w:id="520165190">
      <w:bodyDiv w:val="1"/>
      <w:marLeft w:val="0"/>
      <w:marRight w:val="0"/>
      <w:marTop w:val="0"/>
      <w:marBottom w:val="0"/>
      <w:divBdr>
        <w:top w:val="none" w:sz="0" w:space="0" w:color="auto"/>
        <w:left w:val="none" w:sz="0" w:space="0" w:color="auto"/>
        <w:bottom w:val="none" w:sz="0" w:space="0" w:color="auto"/>
        <w:right w:val="none" w:sz="0" w:space="0" w:color="auto"/>
      </w:divBdr>
      <w:divsChild>
        <w:div w:id="990211834">
          <w:marLeft w:val="720"/>
          <w:marRight w:val="0"/>
          <w:marTop w:val="0"/>
          <w:marBottom w:val="0"/>
          <w:divBdr>
            <w:top w:val="none" w:sz="0" w:space="0" w:color="auto"/>
            <w:left w:val="none" w:sz="0" w:space="0" w:color="auto"/>
            <w:bottom w:val="none" w:sz="0" w:space="0" w:color="auto"/>
            <w:right w:val="none" w:sz="0" w:space="0" w:color="auto"/>
          </w:divBdr>
        </w:div>
      </w:divsChild>
    </w:div>
    <w:div w:id="839854156">
      <w:bodyDiv w:val="1"/>
      <w:marLeft w:val="0"/>
      <w:marRight w:val="0"/>
      <w:marTop w:val="0"/>
      <w:marBottom w:val="0"/>
      <w:divBdr>
        <w:top w:val="none" w:sz="0" w:space="0" w:color="auto"/>
        <w:left w:val="none" w:sz="0" w:space="0" w:color="auto"/>
        <w:bottom w:val="none" w:sz="0" w:space="0" w:color="auto"/>
        <w:right w:val="none" w:sz="0" w:space="0" w:color="auto"/>
      </w:divBdr>
    </w:div>
    <w:div w:id="1224291984">
      <w:bodyDiv w:val="1"/>
      <w:marLeft w:val="0"/>
      <w:marRight w:val="0"/>
      <w:marTop w:val="0"/>
      <w:marBottom w:val="0"/>
      <w:divBdr>
        <w:top w:val="none" w:sz="0" w:space="0" w:color="auto"/>
        <w:left w:val="none" w:sz="0" w:space="0" w:color="auto"/>
        <w:bottom w:val="none" w:sz="0" w:space="0" w:color="auto"/>
        <w:right w:val="none" w:sz="0" w:space="0" w:color="auto"/>
      </w:divBdr>
      <w:divsChild>
        <w:div w:id="1948656197">
          <w:marLeft w:val="720"/>
          <w:marRight w:val="0"/>
          <w:marTop w:val="0"/>
          <w:marBottom w:val="0"/>
          <w:divBdr>
            <w:top w:val="none" w:sz="0" w:space="0" w:color="auto"/>
            <w:left w:val="none" w:sz="0" w:space="0" w:color="auto"/>
            <w:bottom w:val="none" w:sz="0" w:space="0" w:color="auto"/>
            <w:right w:val="none" w:sz="0" w:space="0" w:color="auto"/>
          </w:divBdr>
        </w:div>
      </w:divsChild>
    </w:div>
    <w:div w:id="1319646914">
      <w:bodyDiv w:val="1"/>
      <w:marLeft w:val="0"/>
      <w:marRight w:val="0"/>
      <w:marTop w:val="0"/>
      <w:marBottom w:val="0"/>
      <w:divBdr>
        <w:top w:val="none" w:sz="0" w:space="0" w:color="auto"/>
        <w:left w:val="none" w:sz="0" w:space="0" w:color="auto"/>
        <w:bottom w:val="none" w:sz="0" w:space="0" w:color="auto"/>
        <w:right w:val="none" w:sz="0" w:space="0" w:color="auto"/>
      </w:divBdr>
      <w:divsChild>
        <w:div w:id="1394814814">
          <w:marLeft w:val="720"/>
          <w:marRight w:val="0"/>
          <w:marTop w:val="0"/>
          <w:marBottom w:val="0"/>
          <w:divBdr>
            <w:top w:val="none" w:sz="0" w:space="0" w:color="auto"/>
            <w:left w:val="none" w:sz="0" w:space="0" w:color="auto"/>
            <w:bottom w:val="none" w:sz="0" w:space="0" w:color="auto"/>
            <w:right w:val="none" w:sz="0" w:space="0" w:color="auto"/>
          </w:divBdr>
        </w:div>
      </w:divsChild>
    </w:div>
    <w:div w:id="17106396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1371</Words>
  <Characters>7816</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Westmont College</Company>
  <LinksUpToDate>false</LinksUpToDate>
  <CharactersWithSpaces>9169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Molly Riley</dc:creator>
  <cp:lastModifiedBy>Westmont College</cp:lastModifiedBy>
  <cp:revision>2</cp:revision>
  <dcterms:created xsi:type="dcterms:W3CDTF">2015-06-29T15:26:00Z</dcterms:created>
  <dcterms:modified xsi:type="dcterms:W3CDTF">2015-06-29T15:26:00Z</dcterms:modified>
</cp:coreProperties>
</file>